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Insurance Changes for LGBTQ+ Families Seeking Fertility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workers are pushing employers and insurers to update fertility benefits after a string of legal wins. LGBTQ+ people who want IUI or IVF still face paperwork, denials, and hefty bills , but recent court rulings are starting to force clearer, fairer coverage that matters to families everywhere.</w:t>
      </w:r>
      <w:r/>
    </w:p>
    <w:p>
      <w:r/>
      <w:r>
        <w:t>Essential Takeaways</w:t>
      </w:r>
      <w:r/>
      <w:r/>
    </w:p>
    <w:p>
      <w:pPr>
        <w:pStyle w:val="ListBullet"/>
        <w:spacing w:line="240" w:lineRule="auto"/>
        <w:ind w:left="720"/>
      </w:pPr>
      <w:r/>
      <w:r>
        <w:rPr>
          <w:b/>
        </w:rPr>
        <w:t>Legal boost:</w:t>
      </w:r>
      <w:r>
        <w:t xml:space="preserve"> Section 1557 of the Affordable Care Act is being used more often to challenge insurer rules that tie infertility to heterosexual intercourse, creating new pathways for claims.</w:t>
      </w:r>
      <w:r/>
    </w:p>
    <w:p>
      <w:pPr>
        <w:pStyle w:val="ListBullet"/>
        <w:spacing w:line="240" w:lineRule="auto"/>
        <w:ind w:left="720"/>
      </w:pPr>
      <w:r/>
      <w:r>
        <w:rPr>
          <w:b/>
        </w:rPr>
        <w:t>Cost sting:</w:t>
      </w:r>
      <w:r>
        <w:t xml:space="preserve"> A single IVF cycle can exceed $18,000 out of pocket, making plan language a make-or-break financial issue for many couples and individuals.</w:t>
      </w:r>
      <w:r/>
    </w:p>
    <w:p>
      <w:pPr>
        <w:pStyle w:val="ListBullet"/>
        <w:spacing w:line="240" w:lineRule="auto"/>
        <w:ind w:left="720"/>
      </w:pPr>
      <w:r/>
      <w:r>
        <w:rPr>
          <w:b/>
        </w:rPr>
        <w:t>Wider change:</w:t>
      </w:r>
      <w:r>
        <w:t xml:space="preserve"> Settlements and court decisions have already produced policy updates and payouts, signalling that insurers who shape plan terms may be liable.</w:t>
      </w:r>
      <w:r/>
    </w:p>
    <w:p>
      <w:pPr>
        <w:pStyle w:val="ListBullet"/>
        <w:spacing w:line="240" w:lineRule="auto"/>
        <w:ind w:left="720"/>
      </w:pPr>
      <w:r/>
      <w:r>
        <w:rPr>
          <w:b/>
        </w:rPr>
        <w:t>Practical step:</w:t>
      </w:r>
      <w:r>
        <w:t xml:space="preserve"> Preserve denial letters, plan booklets and receipts, and consult counsel early , documentation matters if you mount a challenge.</w:t>
      </w:r>
      <w:r/>
      <w:r/>
    </w:p>
    <w:p>
      <w:pPr>
        <w:pStyle w:val="Heading2"/>
      </w:pPr>
      <w:r>
        <w:t>Why definitions in policy wording suddenly matter</w:t>
      </w:r>
      <w:r/>
    </w:p>
    <w:p>
      <w:r/>
      <w:r>
        <w:t>The sharp, dry language of insurance plans now has real emotional weight: phrases like “unprotected heterosexual intercourse” can gatekeep care and turn family-building into an expensive privilege, not a medical route. According to federal civil-rights guidance, sex discrimination in health programmes is unlawful, and courts are increasingly willing to hear cases where plan wording leaves same-sex couples without a cost-free way to show infertility.</w:t>
      </w:r>
      <w:r/>
    </w:p>
    <w:p>
      <w:r/>
      <w:r>
        <w:t>That shift didn’t arrive overnight. Litigation has tested whether insurers that craft, administer or effectively control plan terms can be held responsible under Section 1557 of the Affordable Care Act. The result: judges are looking beyond employers’ plan choices and at the insurers who design the definitions that matter. For people trying to start a family, that scrutiny can translate into concrete changes and, sometimes, compensation.</w:t>
      </w:r>
      <w:r/>
    </w:p>
    <w:p>
      <w:pPr>
        <w:pStyle w:val="Heading2"/>
      </w:pPr>
      <w:r>
        <w:t>Real cases, real consequences: what Kulwicki and others show</w:t>
      </w:r>
      <w:r/>
    </w:p>
    <w:p>
      <w:r/>
      <w:r>
        <w:t>Take the example of Kulwicki v. Aetna, where a nurse alleged her employer’s plan limited fertility benefits to people who could prove infertility through heterosexual intercourse. The claim wasn’t academic; it meant paying thousands for IUI or IVF before coverage kicked in. The district court allowed the suit to proceed against the insurer because Aetna had an active role in shaping the plan and kept contractual control over key terms.</w:t>
      </w:r>
      <w:r/>
    </w:p>
    <w:p>
      <w:r/>
      <w:r>
        <w:t>Other suits have mirrored that pattern. Courts in multiple jurisdictions have refused to dismiss claims where plans impose proof burdens that heterosexual couples can meet through sex but same-sex couples cannot. And where class actions settled, insurers agreed to align infertility definitions with professional guidelines and to make certain treatments standard benefits. For anyone navigating denials, these rulings prove that policy language , and who writes it , matters.</w:t>
      </w:r>
      <w:r/>
    </w:p>
    <w:p>
      <w:pPr>
        <w:pStyle w:val="Heading2"/>
      </w:pPr>
      <w:r>
        <w:t>The landscape you live in: state laws and patchy protections</w:t>
      </w:r>
      <w:r/>
    </w:p>
    <w:p>
      <w:r/>
      <w:r>
        <w:t>Where you live still shapes how easy it is to get fertility coverage. About half of LGBTQ+ adults live in states with no private-insurer fertility mandate, and only a handful of states explicitly include LGBTQ+ people in their laws. That patchwork means couples in one city might see IVF covered under their plan, while those a few hours away pay all costs themselves.</w:t>
      </w:r>
      <w:r/>
    </w:p>
    <w:p>
      <w:r/>
      <w:r>
        <w:t>Employers can help by choosing inclusive plan options and inserting protective language into benefit documents. Meanwhile, federal guidance from the Department of Health and Human Services makes it clear sex-based discrimination in healthcare , including reproductive care , can trigger enforcement action. If your state offers mandates, read the fine print; if it doesn’t, plan selection by employers becomes even more important.</w:t>
      </w:r>
      <w:r/>
    </w:p>
    <w:p>
      <w:pPr>
        <w:pStyle w:val="Heading2"/>
      </w:pPr>
      <w:r>
        <w:t>What to do if your fertility claim is denied</w:t>
      </w:r>
      <w:r/>
    </w:p>
    <w:p>
      <w:r/>
      <w:r>
        <w:t>First, pause and gather: save denial letters, benefit booklets, explanation of benefits, and all receipts for out-of-pocket care. Those documents are often the backbone of a successful challenge. Second, raise the issue internally , HR may correct administrative denials or advise on appeals processes. Third, consider legal advice early; lawyers experienced in Section 1557 claims and ERISA or benefits litigation can assess whether an insurer’s role opens a path to a claim.</w:t>
      </w:r>
      <w:r/>
    </w:p>
    <w:p>
      <w:r/>
      <w:r>
        <w:t>Settlements in recent cases have shown that firms, and sometimes insurers, will negotiate: payouts, clearer definitions, or adding IUI/IVF as standard benefits have followed litigation. Even if you don’t want to sue, understanding your rights helps you negotiate with employers and insurers from a stronger position.</w:t>
      </w:r>
      <w:r/>
    </w:p>
    <w:p>
      <w:pPr>
        <w:pStyle w:val="Heading2"/>
      </w:pPr>
      <w:r>
        <w:t>Employers and benefits managers: simple protections that make a big difference</w:t>
      </w:r>
      <w:r/>
    </w:p>
    <w:p>
      <w:r/>
      <w:r>
        <w:t>Employers who want to support LGBTQ+ employees don’t need to reinvent benefits overnight. Start by asking insurers for infertility definitions that follow professional medical guidelines rather than sex-specific proof tests. Add explicit nondiscrimination language for sexual orientation and gender identity into the plan documents. Train HR to recognise and escalate discriminatory denials, and provide employees with clear appeal routes and resources for counsel or advocacy.</w:t>
      </w:r>
      <w:r/>
    </w:p>
    <w:p>
      <w:r/>
      <w:r>
        <w:t>These are modest changes with outsized effects: they reduce out-of-pocket shocks, limit stressful fights over eligibility, and signal to staff that the company values equitable family-building support. For businesses trying to attract and retain talent, that matters.</w:t>
      </w:r>
      <w:r/>
    </w:p>
    <w:p>
      <w:r/>
      <w:r>
        <w:t>It's a small change that can make every chew , and every clinic visit , less fraught and more fair.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2">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3">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https://www.washingtonblade.com/2026/08/07/opinion-pregnant-workers-discrimination/?utm_source=rss&amp;utm_medium=rss&amp;utm_campaign=opinion-pregnant-workers-discrimination</w:t>
        </w:r>
      </w:hyperlink>
      <w:r>
        <w:t xml:space="preserve"> - Please view link - unable to able to access data</w:t>
      </w:r>
      <w:r/>
    </w:p>
    <w:p>
      <w:pPr>
        <w:pStyle w:val="ListNumber"/>
        <w:spacing w:line="240" w:lineRule="auto"/>
        <w:ind w:left="720"/>
      </w:pPr>
      <w:r/>
      <w:hyperlink r:id="rId10">
        <w:r>
          <w:rPr>
            <w:color w:val="0000EE"/>
            <w:u w:val="single"/>
          </w:rPr>
          <w:t>https://www.hhs.gov/civil-rights/for-individuals/special-topics/reproductive-healthcare/index.html</w:t>
        </w:r>
      </w:hyperlink>
      <w:r>
        <w:t xml:space="preserve"> - This page from the U.S. Department of Health &amp; Human Services outlines protections against discrimination in reproductive health care under Section 1557 of the Affordable Care Act. It specifies that individuals cannot be excluded from participation, denied benefits, or subjected to discrimination on the basis of sex, including pregnancy, childbirth, and related medical conditions, in health programs and activities receiving federal financial assistance. The page also provides information on how to file a complaint if one believes their civil rights have been violated.</w:t>
      </w:r>
      <w:r/>
    </w:p>
    <w:p>
      <w:pPr>
        <w:pStyle w:val="ListNumber"/>
        <w:spacing w:line="240" w:lineRule="auto"/>
        <w:ind w:left="720"/>
      </w:pPr>
      <w:r/>
      <w:hyperlink r:id="rId11">
        <w:r>
          <w:rPr>
            <w:color w:val="0000EE"/>
            <w:u w:val="single"/>
          </w:rPr>
          <w:t>https://www.hhs.gov/civil-rights/for-individuals/section-1557/fs-sex-discrimination/index.html</w:t>
        </w:r>
      </w:hyperlink>
      <w:r>
        <w:t xml:space="preserve"> - This resource explains Section 1557 of the Affordable Care Act, which prohibits discrimination on the grounds of race, colour, national origin, sex, age, or disability in certain health programs and activities. It clarifies that sex discrimination includes discrimination based on an individual’s sex, pregnancy, childbirth, and related medical conditions. The page details the protections against sex discrimination, ensuring individuals cannot be denied health care or health coverage based on their sex and that women must be treated equally with men in the health care they receive and the insurance they obtain.</w:t>
      </w:r>
      <w:r/>
    </w:p>
    <w:p>
      <w:pPr>
        <w:pStyle w:val="ListNumber"/>
        <w:spacing w:line="240" w:lineRule="auto"/>
        <w:ind w:left="720"/>
      </w:pPr>
      <w:r/>
      <w:hyperlink r:id="rId14">
        <w:r>
          <w:rPr>
            <w:color w:val="0000EE"/>
            <w:u w:val="single"/>
          </w:rPr>
          <w:t>https://www.hhs.gov/civil-rights/for-individuals/section-1557/fs-health-insurance/index.html</w:t>
        </w:r>
      </w:hyperlink>
      <w:r>
        <w:t xml:space="preserve"> - This page discusses how Section 1557 of the Affordable Care Act applies to health insurance in Marketplaces and other health plans. It extends nondiscrimination protections to individuals enrolled in a variety of health-related coverage, ensuring that individuals cannot be denied, cancelled, limited, or refused health coverage on the basis of race, colour, national origin, sex, age, or disability. The page also notes that provisions of the rule requiring changes to health insurance or group health plan benefit design have an applicability date of the first day of the first plan year beginning on or after January 1, 2017.</w:t>
      </w:r>
      <w:r/>
    </w:p>
    <w:p>
      <w:pPr>
        <w:pStyle w:val="ListNumber"/>
        <w:spacing w:line="240" w:lineRule="auto"/>
        <w:ind w:left="720"/>
      </w:pPr>
      <w:r/>
      <w:hyperlink r:id="rId12">
        <w:r>
          <w:rPr>
            <w:color w:val="0000EE"/>
            <w:u w:val="single"/>
          </w:rPr>
          <w:t>https://www.leagle.com/decision/infdco20240313981</w:t>
        </w:r>
      </w:hyperlink>
      <w:r>
        <w:t xml:space="preserve"> - This legal document provides details on the case of Kulwicki v. Aetna Life Insurance Company, where the plaintiff, Tara Kulwicki, alleges that Aetna violated the anti-discrimination provisions of the Affordable Care Act by denying her claim for infertility benefits under her employer-sponsored health insurance plan. The document includes information on the court's memorandum and order granting in part and denying in part the defendant's motion to dismiss, as well as the legal arguments presented by both parties.</w:t>
      </w:r>
      <w:r/>
    </w:p>
    <w:p>
      <w:pPr>
        <w:pStyle w:val="ListNumber"/>
        <w:spacing w:line="240" w:lineRule="auto"/>
        <w:ind w:left="720"/>
      </w:pPr>
      <w:r/>
      <w:hyperlink r:id="rId13">
        <w:r>
          <w:rPr>
            <w:color w:val="0000EE"/>
            <w:u w:val="single"/>
          </w:rPr>
          <w:t>https://www.nolo.com/legal-encyclopedia/health-care-antidiscrimination-laws-protecting-32296.html</w:t>
        </w:r>
      </w:hyperlink>
      <w:r>
        <w:t xml:space="preserve"> - This article from Nolo discusses federal and state antidiscrimination laws protecting LGBTQ individuals in health care settings. It explains that Section 1557 of the Affordable Care Act prohibits discrimination based on sex, including sexual orientation and gender identity, in health programs and activities receiving federal funding. The article also covers state laws that may offer additional protections and provides guidance on what to do if one experiences discrimination in a health care setting.</w:t>
      </w:r>
      <w:r/>
    </w:p>
    <w:p>
      <w:pPr>
        <w:pStyle w:val="ListNumber"/>
        <w:spacing w:line="240" w:lineRule="auto"/>
        <w:ind w:left="720"/>
      </w:pPr>
      <w:r/>
      <w:hyperlink r:id="rId15">
        <w:r>
          <w:rPr>
            <w:color w:val="0000EE"/>
            <w:u w:val="single"/>
          </w:rPr>
          <w:t>https://www.eeoc.gov/fact-sheet/facts-about-pregnancy-discrimination</w:t>
        </w:r>
      </w:hyperlink>
      <w:r>
        <w:t xml:space="preserve"> - This fact sheet from the U.S. Equal Employment Opportunity Commission outlines the Pregnancy Discrimination Act, which amended Title VII of the Civil Rights Act of 1964. It specifies that discrimination on the basis of pregnancy, childbirth, or related medical conditions constitutes unlawful sex discrimination under Title VII. The document details the protections against pregnancy discrimination in hiring, maternity leave, and other employment-related areas, ensuring that women who are pregnant or affected by pregnancy-related conditions are treated equally to other applicants or employees with similar abilities or limitations.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7/opinion-pregnant-workers-discrimination/?utm_source=rss&amp;utm_medium=rss&amp;utm_campaign=opinion-pregnant-workers-discrimination" TargetMode="External"/><Relationship Id="rId10" Type="http://schemas.openxmlformats.org/officeDocument/2006/relationships/hyperlink" Target="https://www.hhs.gov/civil-rights/for-individuals/special-topics/reproductive-healthcare/index.html" TargetMode="External"/><Relationship Id="rId11" Type="http://schemas.openxmlformats.org/officeDocument/2006/relationships/hyperlink" Target="https://www.hhs.gov/civil-rights/for-individuals/section-1557/fs-sex-discrimination/index.html" TargetMode="External"/><Relationship Id="rId12" Type="http://schemas.openxmlformats.org/officeDocument/2006/relationships/hyperlink" Target="https://www.leagle.com/decision/infdco20240313981" TargetMode="External"/><Relationship Id="rId13" Type="http://schemas.openxmlformats.org/officeDocument/2006/relationships/hyperlink" Target="https://www.nolo.com/legal-encyclopedia/health-care-antidiscrimination-laws-protecting-32296.html" TargetMode="External"/><Relationship Id="rId14" Type="http://schemas.openxmlformats.org/officeDocument/2006/relationships/hyperlink" Target="https://www.hhs.gov/civil-rights/for-individuals/section-1557/fs-health-insurance/index.html" TargetMode="External"/><Relationship Id="rId15" Type="http://schemas.openxmlformats.org/officeDocument/2006/relationships/hyperlink" Target="https://www.eeoc.gov/fact-sheet/facts-about-pregnancy-discrim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