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Gender-Affirming Rehab Options: Why Correct Names and Safe Housing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wrong name or a mismatched bedroom can end recovery before it begins , trans women need rehab that sees them, affirms them, and treats trauma alongside substance use, especially in programmes that coordinate with gender-affirming healthcare.</w:t>
      </w:r>
      <w:r/>
    </w:p>
    <w:p>
      <w:r/>
      <w:r>
        <w:t>Essential Takeaways</w:t>
      </w:r>
      <w:r/>
      <w:r/>
    </w:p>
    <w:p>
      <w:pPr>
        <w:pStyle w:val="ListBullet"/>
        <w:spacing w:line="240" w:lineRule="auto"/>
        <w:ind w:left="720"/>
      </w:pPr>
      <w:r/>
      <w:r>
        <w:rPr>
          <w:b/>
        </w:rPr>
        <w:t>Misgendering drives dropout:</w:t>
      </w:r>
      <w:r>
        <w:t xml:space="preserve"> being called the wrong name or housed by birth-assigned sex often pushes trans women out before treatment starts. </w:t>
      </w:r>
      <w:r/>
    </w:p>
    <w:p>
      <w:pPr>
        <w:pStyle w:val="ListBullet"/>
        <w:spacing w:line="240" w:lineRule="auto"/>
        <w:ind w:left="720"/>
      </w:pPr>
      <w:r/>
      <w:r>
        <w:rPr>
          <w:b/>
        </w:rPr>
        <w:t>Minority stress fuels use:</w:t>
      </w:r>
      <w:r>
        <w:t xml:space="preserve"> chronic discrimination and trauma commonly co-occur with substance use and mental health needs. </w:t>
      </w:r>
      <w:r/>
    </w:p>
    <w:p>
      <w:pPr>
        <w:pStyle w:val="ListBullet"/>
        <w:spacing w:line="240" w:lineRule="auto"/>
        <w:ind w:left="720"/>
      </w:pPr>
      <w:r/>
      <w:r>
        <w:rPr>
          <w:b/>
        </w:rPr>
        <w:t>Affirmation is clinical baseline:</w:t>
      </w:r>
      <w:r>
        <w:t xml:space="preserve"> correct name, pronouns and housing aligned with gender reduce stress and aid retention. </w:t>
      </w:r>
      <w:r/>
    </w:p>
    <w:p>
      <w:pPr>
        <w:pStyle w:val="ListBullet"/>
        <w:spacing w:line="240" w:lineRule="auto"/>
        <w:ind w:left="720"/>
      </w:pPr>
      <w:r/>
      <w:r>
        <w:rPr>
          <w:b/>
        </w:rPr>
        <w:t>Look for specifics, not slogans:</w:t>
      </w:r>
      <w:r>
        <w:t xml:space="preserve"> ask concrete questions about intake, staff training, housing policy and coordination with gender-affirming care. </w:t>
      </w:r>
      <w:r/>
    </w:p>
    <w:p>
      <w:pPr>
        <w:pStyle w:val="ListBullet"/>
        <w:spacing w:line="240" w:lineRule="auto"/>
        <w:ind w:left="720"/>
      </w:pPr>
      <w:r/>
      <w:r>
        <w:rPr>
          <w:b/>
        </w:rPr>
        <w:t>Integrated care helps:</w:t>
      </w:r>
      <w:r>
        <w:t xml:space="preserve"> dual-diagnosis programmes that treat trauma and substance use together work better for many trans women.</w:t>
      </w:r>
      <w:r/>
      <w:r/>
    </w:p>
    <w:p>
      <w:pPr>
        <w:pStyle w:val="Heading2"/>
      </w:pPr>
      <w:r>
        <w:t>Why a check-in form can ruin recovery</w:t>
      </w:r>
      <w:r/>
    </w:p>
    <w:p>
      <w:r/>
      <w:r>
        <w:t>Picture arriving at a clinic exhausted, then being asked your “legal sex” and sent to a men’s unit , that jolt is louder than detox. Studies and clinician reports show that intake processes built around cis assumptions signal a programme isn’t ready for trans patients, and many people leave before any therapy or medication can make a difference. Misgendering and deadnaming are not just rude, they’re clinically destabilising; when your whole day is spent correcting staff, there’s less energy for recovery work. If a facility doesn’t use your chosen name from the first phone call, that’s a practical red flag you can spot before you commit.</w:t>
      </w:r>
      <w:r/>
    </w:p>
    <w:p>
      <w:pPr>
        <w:pStyle w:val="Heading2"/>
      </w:pPr>
      <w:r>
        <w:t>How minority stress and trauma connect to substance use</w:t>
      </w:r>
      <w:r/>
    </w:p>
    <w:p>
      <w:r/>
      <w:r>
        <w:t>Researchers using the minority stress framework have linked ongoing discrimination and microtraumas to higher rates of substance use among transgender people. Those small, repeated harms , a hesitation at work, a refusal to use your pronouns , compound into chronic stress that some people manage with alcohol or drugs. That pattern explains why treating only the substance use without addressing trauma, anxiety or depression frequently fails. Programmes that don’t screen for or treat co-occurring mental health conditions are treating symptoms, not causes.</w:t>
      </w:r>
      <w:r/>
    </w:p>
    <w:p>
      <w:pPr>
        <w:pStyle w:val="Heading2"/>
      </w:pPr>
      <w:r>
        <w:t>What genuinely affirming rehab looks like</w:t>
      </w:r>
      <w:r/>
    </w:p>
    <w:p>
      <w:r/>
      <w:r>
        <w:t>Affirming care starts with basics that should be nothing to boast about: staff who use your name and pronouns automatically, housing that aligns with your gender, and clinicians trained in trans health and trauma-informed practice. It’s also about systems: continuity of hormone care, willingness to coordinate with outside endocrinologists, and MAT options integrated with gender-affirming treatments. When those pieces are in place you get a quieter clinical space where trust can form, and trust is the ingredient that helps people stay through the hardest early weeks.</w:t>
      </w:r>
      <w:r/>
    </w:p>
    <w:p>
      <w:pPr>
        <w:pStyle w:val="Heading2"/>
      </w:pPr>
      <w:r>
        <w:t>How to spot rainbow-washing and ask the right questions</w:t>
      </w:r>
      <w:r/>
    </w:p>
    <w:p>
      <w:r/>
      <w:r>
        <w:t>A rainbow logo won’t tell you if the counsellor knows what to do when a patient is on hormones. Ask practical, pointed questions: Do you use the chosen name on the first call? How is housing assigned for trans women? What specific training do staff and leadership have in transgender care? Are trans clinicians or leaders on staff? How do you coordinate with external gender-affirming providers? Beware of answers like “we treat everyone the same” , that often means trans-specific needs are being ignored rather than met.</w:t>
      </w:r>
      <w:r/>
    </w:p>
    <w:p>
      <w:pPr>
        <w:pStyle w:val="Heading2"/>
      </w:pPr>
      <w:r>
        <w:t>What to expect from programmes built differently</w:t>
      </w:r>
      <w:r/>
    </w:p>
    <w:p>
      <w:r/>
      <w:r>
        <w:t>When a centre is genuinely designed around trans safety, small gestures have big clinical effects. Staff who don’t ask you to educate them, an admissions flow that respects your privacy and identity, and integrated dual-diagnosis care make relapse less likely and engagement more likely. Centres that follow best-practice guidance treat gender affirmation as an essential part of medical care rather than an optional add-on, and that shift changes outcomes. If a programme can describe concrete policies and name the staff who handle trans care, you’re in better hands.</w:t>
      </w:r>
      <w:r/>
    </w:p>
    <w:p>
      <w:r/>
      <w:r>
        <w:t>It's a small, practical change that can make every step of recovery feel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5">
        <w:r>
          <w:rPr>
            <w:color w:val="0000EE"/>
            <w:u w:val="single"/>
          </w:rPr>
          <w:t>[5]</w:t>
        </w:r>
      </w:hyperlink>
      <w:r>
        <w:t xml:space="preserve">- Paragraph 4: </w:t>
      </w:r>
      <w:hyperlink r:id="rId14">
        <w:r>
          <w:rPr>
            <w:color w:val="0000EE"/>
            <w:u w:val="single"/>
          </w:rPr>
          <w:t>[6]</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https://nomatterwhatrecovery.com/trans-women-and-addiction-why-traditional-rehab-often-fails-and-what-we-do-differently/</w:t>
        </w:r>
      </w:hyperlink>
      <w:r>
        <w:t xml:space="preserve"> - Please view link - unable to able to access data</w:t>
      </w:r>
      <w:r/>
    </w:p>
    <w:p>
      <w:pPr>
        <w:pStyle w:val="ListNumber"/>
        <w:spacing w:line="240" w:lineRule="auto"/>
        <w:ind w:left="720"/>
      </w:pPr>
      <w:r/>
      <w:hyperlink r:id="rId10">
        <w:r>
          <w:rPr>
            <w:color w:val="0000EE"/>
            <w:u w:val="single"/>
          </w:rPr>
          <w:t>https://journals.sagepub.com/doi/10.1177/08862605231153886</w:t>
        </w:r>
      </w:hyperlink>
      <w:r>
        <w:t xml:space="preserve"> - This study examines the relationship between trauma exposure, minority stressors, and substance use among cisgender sexual minority women. It highlights that psychosocial stressors, such as minority stress and trauma, significantly impact the risk of alcohol and other drug use in this population. The findings suggest that addressing these stressors is crucial in developing effective interventions for substance use among sexual minority women.</w:t>
      </w:r>
      <w:r/>
    </w:p>
    <w:p>
      <w:pPr>
        <w:pStyle w:val="ListNumber"/>
        <w:spacing w:line="240" w:lineRule="auto"/>
        <w:ind w:left="720"/>
      </w:pPr>
      <w:r/>
      <w:hyperlink r:id="rId12">
        <w:r>
          <w:rPr>
            <w:color w:val="0000EE"/>
            <w:u w:val="single"/>
          </w:rPr>
          <w:t>https://www.sciencedirect.com/science/article/pii/S0306460320306742</w:t>
        </w:r>
      </w:hyperlink>
      <w:r>
        <w:t xml:space="preserve"> - A systematic review exploring the prevalence and correlates of substance use among transgender adults. The review indicates that transgender individuals, particularly trans women, are at a higher risk of substance use and related problems. The study supports minority stress theories, suggesting that experiences of discrimination and marginalisation contribute to increased substance use in this population.</w:t>
      </w:r>
      <w:r/>
    </w:p>
    <w:p>
      <w:pPr>
        <w:pStyle w:val="ListNumber"/>
        <w:spacing w:line="240" w:lineRule="auto"/>
        <w:ind w:left="720"/>
      </w:pPr>
      <w:r/>
      <w:hyperlink r:id="rId11">
        <w:r>
          <w:rPr>
            <w:color w:val="0000EE"/>
            <w:u w:val="single"/>
          </w:rPr>
          <w:t>https://pmc.ncbi.nlm.nih.gov/articles/PMC12499634/</w:t>
        </w:r>
      </w:hyperlink>
      <w:r>
        <w:t xml:space="preserve"> - This article discusses the implications of trauma symptoms and minority stress on substance use within sexual and gender minority communities. It underscores the higher prevalence of posttraumatic stress disorder (PTSD) among sexual and gender minority individuals compared to their heterosexual and cisgender counterparts. The study suggests that interventions should consider minority stress coping strategies and substance use comorbidities to be effective.</w:t>
      </w:r>
      <w:r/>
    </w:p>
    <w:p>
      <w:pPr>
        <w:pStyle w:val="ListNumber"/>
        <w:spacing w:line="240" w:lineRule="auto"/>
        <w:ind w:left="720"/>
      </w:pPr>
      <w:r/>
      <w:hyperlink r:id="rId15">
        <w:r>
          <w:rPr>
            <w:color w:val="0000EE"/>
            <w:u w:val="single"/>
          </w:rPr>
          <w:t>https://pubmed.ncbi.nlm.nih.gov/28405831/</w:t>
        </w:r>
      </w:hyperlink>
      <w:r>
        <w:t xml:space="preserve"> - This study examines the association between demographics, sexual orientation, gender characteristics, and gender minority stress with excessive alcohol, cannabis, and illicit drug use among transgender adults in the United States. The findings indicate that gender minority stressors are independently associated with excessive alcohol use among transgender men and cannabis use among transgender women, highlighting the need for tailored interventions.</w:t>
      </w:r>
      <w:r/>
    </w:p>
    <w:p>
      <w:pPr>
        <w:pStyle w:val="ListNumber"/>
        <w:spacing w:line="240" w:lineRule="auto"/>
        <w:ind w:left="720"/>
      </w:pPr>
      <w:r/>
      <w:hyperlink r:id="rId14">
        <w:r>
          <w:rPr>
            <w:color w:val="0000EE"/>
            <w:u w:val="single"/>
          </w:rPr>
          <w:t>https://newexistencerecovery.com/blog/lgbtq-affirming-addiction-treatment</w:t>
        </w:r>
      </w:hyperlink>
      <w:r>
        <w:t xml:space="preserve"> - An article discussing why standard rehabilitation programs often fail LGBTQ+ clients, particularly transgender individuals. It highlights issues such as heteronormative and cisnormative assumptions, unsafe group environments, and clinicians lacking LGBTQ+ competency. The piece advocates for LGBTQ+ affirming addiction treatment that addresses these shortcomings to provide effective care for queer clients.</w:t>
      </w:r>
      <w:r/>
    </w:p>
    <w:p>
      <w:pPr>
        <w:pStyle w:val="ListNumber"/>
        <w:spacing w:line="240" w:lineRule="auto"/>
        <w:ind w:left="720"/>
      </w:pPr>
      <w:r/>
      <w:hyperlink r:id="rId13">
        <w:r>
          <w:rPr>
            <w:color w:val="0000EE"/>
            <w:u w:val="single"/>
          </w:rPr>
          <w:t>https://journals.sagepub.com/doi/10.1089/trgh.2023.0025</w:t>
        </w:r>
      </w:hyperlink>
      <w:r>
        <w:t xml:space="preserve"> - A systematic review and meta-analysis examining the relationship between minority stress and substance use frequency and problems among transgender and gender-diverse individuals. The study finds a significant association between minority stress and increased substance use, supporting the need for interventions that address these stressors to reduce substance use in this population.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tterwhatrecovery.com/trans-women-and-addiction-why-traditional-rehab-often-fails-and-what-we-do-differently/" TargetMode="External"/><Relationship Id="rId10" Type="http://schemas.openxmlformats.org/officeDocument/2006/relationships/hyperlink" Target="https://journals.sagepub.com/doi/10.1177/08862605231153886" TargetMode="External"/><Relationship Id="rId11" Type="http://schemas.openxmlformats.org/officeDocument/2006/relationships/hyperlink" Target="https://pmc.ncbi.nlm.nih.gov/articles/PMC12499634/" TargetMode="External"/><Relationship Id="rId12" Type="http://schemas.openxmlformats.org/officeDocument/2006/relationships/hyperlink" Target="https://www.sciencedirect.com/science/article/pii/S0306460320306742" TargetMode="External"/><Relationship Id="rId13" Type="http://schemas.openxmlformats.org/officeDocument/2006/relationships/hyperlink" Target="https://journals.sagepub.com/doi/10.1089/trgh.2023.0025" TargetMode="External"/><Relationship Id="rId14" Type="http://schemas.openxmlformats.org/officeDocument/2006/relationships/hyperlink" Target="https://newexistencerecovery.com/blog/lgbtq-affirming-addiction-treatment" TargetMode="External"/><Relationship Id="rId15" Type="http://schemas.openxmlformats.org/officeDocument/2006/relationships/hyperlink" Target="https://pubmed.ncbi.nlm.nih.gov/284058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