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London Councils Defying New EHRC Guidance on Single-Sex Spaces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campaigners have noticed a tidy row forming across London as six boroughs pledge to keep trans-inclusive public services despite the Equality and Human Rights Commission’s new single-sex spaces guidance , here's who, what it means locally and practical choices for people using gyms, toilets and advice centres.</w:t>
      </w:r>
      <w:r/>
    </w:p>
    <w:p>
      <w:r/>
      <w:r>
        <w:t>Essential takeaways</w:t>
      </w:r>
      <w:r/>
      <w:r/>
    </w:p>
    <w:p>
      <w:pPr>
        <w:pStyle w:val="ListBullet"/>
        <w:spacing w:line="240" w:lineRule="auto"/>
        <w:ind w:left="720"/>
      </w:pPr>
      <w:r/>
      <w:r>
        <w:rPr>
          <w:b/>
        </w:rPr>
        <w:t>Who’s involved:</w:t>
      </w:r>
      <w:r>
        <w:t xml:space="preserve"> Lambeth, Hackney, Haringey, Lewisham, Southwark and Waltham Forest have issued a joint pledge to maintain trans-inclusive services locally.</w:t>
      </w:r>
      <w:r/>
    </w:p>
    <w:p>
      <w:pPr>
        <w:pStyle w:val="ListBullet"/>
        <w:spacing w:line="240" w:lineRule="auto"/>
        <w:ind w:left="720"/>
      </w:pPr>
      <w:r/>
      <w:r>
        <w:rPr>
          <w:b/>
        </w:rPr>
        <w:t>What changed:</w:t>
      </w:r>
      <w:r>
        <w:t xml:space="preserve"> The EHRC guidance now says access to public single-sex spaces should be determined by sex as assigned at birth, a significant legal interpretation.</w:t>
      </w:r>
      <w:r/>
    </w:p>
    <w:p>
      <w:pPr>
        <w:pStyle w:val="ListBullet"/>
        <w:spacing w:line="240" w:lineRule="auto"/>
        <w:ind w:left="720"/>
      </w:pPr>
      <w:r/>
      <w:r>
        <w:rPr>
          <w:b/>
        </w:rPr>
        <w:t>On-the-ground feel:</w:t>
      </w:r>
      <w:r>
        <w:t xml:space="preserve"> Councils say they won’t make staff police facilities, so interactions should remain low-key and unpoliced, though some users may feel anxious.</w:t>
      </w:r>
      <w:r/>
    </w:p>
    <w:p>
      <w:pPr>
        <w:pStyle w:val="ListBullet"/>
        <w:spacing w:line="240" w:lineRule="auto"/>
        <w:ind w:left="720"/>
      </w:pPr>
      <w:r/>
      <w:r>
        <w:rPr>
          <w:b/>
        </w:rPr>
        <w:t>Legal pushback:</w:t>
      </w:r>
      <w:r>
        <w:t xml:space="preserve"> Hackney has already been served with a formal legal challenge for not operating cis-women-only services, signalling court battles ahead.</w:t>
      </w:r>
      <w:r/>
    </w:p>
    <w:p>
      <w:pPr>
        <w:pStyle w:val="ListBullet"/>
        <w:spacing w:line="240" w:lineRule="auto"/>
        <w:ind w:left="720"/>
      </w:pPr>
      <w:r/>
      <w:r>
        <w:rPr>
          <w:b/>
        </w:rPr>
        <w:t>Practical tip:</w:t>
      </w:r>
      <w:r>
        <w:t xml:space="preserve"> If you need a quiet or single-user facility, check council or venue websites before you travel; many places are updating guidance or signage quickly.</w:t>
      </w:r>
      <w:r/>
      <w:r/>
    </w:p>
    <w:p>
      <w:pPr>
        <w:pStyle w:val="Heading2"/>
      </w:pPr>
      <w:r>
        <w:t>Why six boroughs publicly pledged inclusion , and what that looks like in practice</w:t>
      </w:r>
      <w:r/>
    </w:p>
    <w:p>
      <w:r/>
      <w:r>
        <w:t>The six London boroughs issued a joint letter the day the EHRC guidance took effect, signalling a clear stance that local services will stay trans-inclusive. That matters because people already using these services told local leaders they want reassurance that they won’t be asked to prove their identity or justify their presence. In practice that usually means staff won’t challenge or demand documentation, and venues will continue to offer mixed or gender-neutral options where possible. It’s a practical, human-centred approach , but one that’s likely to be tested in court and public debate.</w:t>
      </w:r>
      <w:r/>
    </w:p>
    <w:p>
      <w:pPr>
        <w:pStyle w:val="Heading2"/>
      </w:pPr>
      <w:r>
        <w:t>What the EHRC guidance actually requires, and why councils say it’s at odds with local practice</w:t>
      </w:r>
      <w:r/>
    </w:p>
    <w:p>
      <w:r/>
      <w:r>
        <w:t>The new guidance frames access to single-sex spaces by sex at birth, which reshapes legal advice on who should use women-only changing rooms, toilets and specialist services. Councils argue that enforcing that rule on the ground would force staff into uncomfortable policing roles and could make trans and non-binary residents feel under attack. Meanwhile, the EHRC chair has reminded public bodies they remain legally obliged to follow the law, so this is less a quiet policy tweak and more a legal crossroads for local services.</w:t>
      </w:r>
      <w:r/>
    </w:p>
    <w:p>
      <w:pPr>
        <w:pStyle w:val="Heading2"/>
      </w:pPr>
      <w:r>
        <w:t>How this will affect everyday visits , gyms, libraries, advice centres</w:t>
      </w:r>
      <w:r/>
    </w:p>
    <w:p>
      <w:r/>
      <w:r>
        <w:t>Expect a patchwork of responses. Some venues will keep current inclusive practice, offering unisex or single-occupancy rooms and training staff to de-escalate incidents. Others may add clearer signage or guidance about which spaces are single-sex for safety or privacy reasons. If you're nervous about a visit, ring ahead or use a venue’s website , many councils and leisure centres update access options and quiet times online. For parents, older people or survivors of abuse, that extra check can avoid an awkward or distressing encounter.</w:t>
      </w:r>
      <w:r/>
    </w:p>
    <w:p>
      <w:pPr>
        <w:pStyle w:val="Heading2"/>
      </w:pPr>
      <w:r>
        <w:t>Legal challenges and the likely road ahead</w:t>
      </w:r>
      <w:r/>
    </w:p>
    <w:p>
      <w:r/>
      <w:r>
        <w:t>Legal pushback has already begun: Hackney faces a formal legal challenge for not restricting services to cis women, and more cases may follow. Court outcomes will matter because they’ll either reinforce local discretion or force councils to alter practice. For now, expect continued public debate, strategic litigation and guidance updates. Councils and campaigners on both sides are sharpening arguments, and that means policies could shift quickly depending on court rulings or ministerial intervention.</w:t>
      </w:r>
      <w:r/>
    </w:p>
    <w:p>
      <w:pPr>
        <w:pStyle w:val="Heading2"/>
      </w:pPr>
      <w:r>
        <w:t>What residents can do now , practical advice and community options</w:t>
      </w:r>
      <w:r/>
    </w:p>
    <w:p>
      <w:r/>
      <w:r>
        <w:t>If you rely on single-sex services, check local council pages and community groups for updates and alternative options. Organisations that support trans residents also list safe spaces and advocacy resources; they can help with complaints or access issues. If you manage a venue, provide staff training on respectful interactions and consider offering single-occupancy options for those who prefer them. Small steps like clearer signage and private-change rooms make a big difference in day-to-day comfort.</w:t>
      </w:r>
      <w:r/>
    </w:p>
    <w:p>
      <w:r/>
      <w:r>
        <w:t>It’s a small change in wording that’s already having big consequences on the ground , and local residents will be the first to notice which councils make space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10">
        <w:r>
          <w:rPr>
            <w:color w:val="0000EE"/>
            <w:u w:val="single"/>
          </w:rPr>
          <w:t>[4]</w:t>
        </w:r>
      </w:hyperlink>
      <w:r>
        <w:t xml:space="preserve">, </w:t>
      </w:r>
      <w:hyperlink r:id="rId11">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11">
        <w:r>
          <w:rPr>
            <w:color w:val="0000EE"/>
            <w:u w:val="single"/>
          </w:rPr>
          <w:t>[5]</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https://www.thepinknews.com/2026/08/06/london-councils-ehrc-guidance/</w:t>
        </w:r>
      </w:hyperlink>
      <w:r>
        <w:t xml:space="preserve"> - Please view link - unable to able to access data</w:t>
      </w:r>
      <w:r/>
    </w:p>
    <w:p>
      <w:pPr>
        <w:pStyle w:val="ListNumber"/>
        <w:spacing w:line="240" w:lineRule="auto"/>
        <w:ind w:left="720"/>
      </w:pPr>
      <w:r/>
      <w:hyperlink r:id="rId9">
        <w:r>
          <w:rPr>
            <w:color w:val="0000EE"/>
            <w:u w:val="single"/>
          </w:rPr>
          <w:t>https://www.thepinknews.com/2026/08/06/london-councils-ehrc-guidance/</w:t>
        </w:r>
      </w:hyperlink>
      <w:r>
        <w:t xml:space="preserve"> - Six London councils—Lambeth, Hackney, Haringey, Lewisham, Southwark, and Waltham Forest—have pledged to maintain trans-inclusive services despite the Equality and Human Rights Commission's (EHRC) new guidance on single-sex spaces. The guidance, effective from 5 August 2026, stipulates that access to public single-sex spaces like toilets and changing rooms should be determined by a person's sex assigned at birth. The councils, led by Labour, Green, and Liberal Democrat parties, have stated they will not require staff to 'police' access to these spaces, expressing concerns that the guidance could make transgender and non-binary residents feel under attack. Legal challenges have already begun, with Hackney being served a formal legal challenge for failing to provide services exclusively for cis women. EHRC chair Mary-Ann Stephenson reminded public bodies of their legal obligation to follow the law, while campaigners continue to dispute the practical application of the guidance.</w:t>
      </w:r>
      <w:r/>
    </w:p>
    <w:p>
      <w:pPr>
        <w:pStyle w:val="ListNumber"/>
        <w:spacing w:line="240" w:lineRule="auto"/>
        <w:ind w:left="720"/>
      </w:pPr>
      <w:r/>
      <w:hyperlink r:id="rId13">
        <w:r>
          <w:rPr>
            <w:color w:val="0000EE"/>
            <w:u w:val="single"/>
          </w:rPr>
          <w:t>https://www.bmj.com/content/bmj/393/bmj-2026-862769.full.pdf</w:t>
        </w:r>
      </w:hyperlink>
      <w:r>
        <w:t xml:space="preserve"> - The BMJ reports that the UK government has confirmed that single-sex spaces in the NHS, such as staff changing rooms and toilets, must be divided based on biological sex. This decision follows a Supreme Court ruling that the legal definition of a woman in the Equality Act 2010 is based on biological sex, regardless of whether a trans person holds a gender recognition certificate. The guidance specifies that trans women should not use female-only facilities, and trans men should not use male-only facilities. Alternative provisions, such as mixed or gender-neutral spaces, should be offered to trans individuals. The guidance has sparked debate, with some groups advocating for the recognition of biological sex and others expressing concerns about the rights of trans people.</w:t>
      </w:r>
      <w:r/>
    </w:p>
    <w:p>
      <w:pPr>
        <w:pStyle w:val="ListNumber"/>
        <w:spacing w:line="240" w:lineRule="auto"/>
        <w:ind w:left="720"/>
      </w:pPr>
      <w:r/>
      <w:hyperlink r:id="rId10">
        <w:r>
          <w:rPr>
            <w:color w:val="0000EE"/>
            <w:u w:val="single"/>
          </w:rPr>
          <w:t>https://www.ukactive.com/wp-content/uploads/2022/04/EHRC-guidance-note-v.2.pdf</w:t>
        </w:r>
      </w:hyperlink>
      <w:r>
        <w:t xml:space="preserve"> - UKactive has released a guidance note to assist service providers in implementing the EHRC's guidance on single-sex services and spaces. The document aims to help organisations make lawful decisions regarding the provision of separate or single-sex services, as permitted under the Equality Act 2010. It covers various scenarios, including facilities shared by service users and staff, and provides sector-specific examples relevant to the fitness and leisure industry. The guidance encourages service providers to create policies that balance the needs of different groups they serve while ensuring compliance with the law.</w:t>
      </w:r>
      <w:r/>
    </w:p>
    <w:p>
      <w:pPr>
        <w:pStyle w:val="ListNumber"/>
        <w:spacing w:line="240" w:lineRule="auto"/>
        <w:ind w:left="720"/>
      </w:pPr>
      <w:r/>
      <w:hyperlink r:id="rId11">
        <w:r>
          <w:rPr>
            <w:color w:val="0000EE"/>
            <w:u w:val="single"/>
          </w:rPr>
          <w:t>https://spectra-london.org.uk/what-we-do/</w:t>
        </w:r>
      </w:hyperlink>
      <w:r>
        <w:t xml:space="preserve"> - Spectra is a London-based organisation that supports communities often excluded or underserved, including LGBTQIA+ individuals, sex workers, young people, people living with and affected by HIV, and Black, Asian, and People of Colour. Their services are designed and delivered by people who share the lived experiences of the communities they support. Programmes include HIV testing, prevention, and sexual health outreach; casework and advocacy for sex workers; casework and health advocacy for trans and gender-diverse people; and groupwork and social supports for trans and gender-diverse individuals.</w:t>
      </w:r>
      <w:r/>
    </w:p>
    <w:p>
      <w:pPr>
        <w:pStyle w:val="ListNumber"/>
        <w:spacing w:line="240" w:lineRule="auto"/>
        <w:ind w:left="720"/>
      </w:pPr>
      <w:r/>
      <w:hyperlink r:id="rId12">
        <w:r>
          <w:rPr>
            <w:color w:val="0000EE"/>
            <w:u w:val="single"/>
          </w:rPr>
          <w:t>https://www.justice.gov/crt/case/united-states-v-adnan-shalash-ed-ky</w:t>
        </w:r>
      </w:hyperlink>
      <w:r>
        <w:t xml:space="preserve"> - The U.S. Department of Justice reports on a settlement agreement in the case of United States v. Adnan Shalash, et al., in which the defendants were alleged to have violated the Fair Housing Act by subjecting female tenants and applicants to severe and pervasive sexual harassment since at least 2004. The allegations included offering housing-related benefits in exchange for sexual contact, making unwelcome sexual comments and advances, and taking adverse housing-related actions against female tenants who refused their sexual advances. The case highlights the importance of upholding tenants' rights and addressing sexual harassment in housing.</w:t>
      </w:r>
      <w:r/>
    </w:p>
    <w:p>
      <w:pPr>
        <w:pStyle w:val="ListNumber"/>
        <w:spacing w:line="240" w:lineRule="auto"/>
        <w:ind w:left="720"/>
      </w:pPr>
      <w:r/>
      <w:hyperlink r:id="rId14">
        <w:r>
          <w:rPr>
            <w:color w:val="0000EE"/>
            <w:u w:val="single"/>
          </w:rPr>
          <w:t>https://www.youtube.com/watch?v=3q1nfknoO8s</w:t>
        </w:r>
      </w:hyperlink>
      <w:r>
        <w:t xml:space="preserve"> - In this TalkTV segment, Olympic medalist and author Sharron Davies discusses the government's receipt of EHRC guidance on single-sex spaces three months prior. The guidance, which has not yet been released to the public, suggests that transgender individuals could be excluded from single-sex spaces based on their appearance. The delay in publication has raised concerns about potential political fallout, despite the guidance's intent to protect the dignity and safety of women. The discussion highlights the ongoing debate over the application of single-sex space policies and their impact on various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06/london-councils-ehrc-guidance/" TargetMode="External"/><Relationship Id="rId10" Type="http://schemas.openxmlformats.org/officeDocument/2006/relationships/hyperlink" Target="https://www.ukactive.com/wp-content/uploads/2022/04/EHRC-guidance-note-v.2.pdf" TargetMode="External"/><Relationship Id="rId11" Type="http://schemas.openxmlformats.org/officeDocument/2006/relationships/hyperlink" Target="https://spectra-london.org.uk/what-we-do/" TargetMode="External"/><Relationship Id="rId12" Type="http://schemas.openxmlformats.org/officeDocument/2006/relationships/hyperlink" Target="https://www.justice.gov/crt/case/united-states-v-adnan-shalash-ed-ky" TargetMode="External"/><Relationship Id="rId13" Type="http://schemas.openxmlformats.org/officeDocument/2006/relationships/hyperlink" Target="https://www.bmj.com/content/bmj/393/bmj-2026-862769.full.pdf" TargetMode="External"/><Relationship Id="rId14" Type="http://schemas.openxmlformats.org/officeDocument/2006/relationships/hyperlink" Target="https://www.youtube.com/watch?v=3q1nfknoO8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