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the Gay Son Caregiving Burden: Why It Falls to Him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families quietly pick the most available person to care for ageing parents , and too often that person is the gay son. This matters because assumptions about availability, finances and intimacy turn into real labour and loss, and understanding the pattern can help families act more fairly.</w:t>
      </w:r>
      <w:r/>
    </w:p>
    <w:p>
      <w:r/>
      <w:r>
        <w:t>Essential Takeaways</w:t>
      </w:r>
      <w:r/>
      <w:r/>
    </w:p>
    <w:p>
      <w:pPr>
        <w:pStyle w:val="ListBullet"/>
        <w:spacing w:line="240" w:lineRule="auto"/>
        <w:ind w:left="720"/>
      </w:pPr>
      <w:r/>
      <w:r>
        <w:rPr>
          <w:b/>
        </w:rPr>
        <w:t>Common assumption:</w:t>
      </w:r>
      <w:r>
        <w:t xml:space="preserve"> Families often presume unmarried sons, especially gay men, have more free time and can shoulder caregiving tasks.</w:t>
      </w:r>
      <w:r/>
    </w:p>
    <w:p>
      <w:pPr>
        <w:pStyle w:val="ListBullet"/>
        <w:spacing w:line="240" w:lineRule="auto"/>
        <w:ind w:left="720"/>
      </w:pPr>
      <w:r/>
      <w:r>
        <w:rPr>
          <w:b/>
        </w:rPr>
        <w:t>Practical cost:</w:t>
      </w:r>
      <w:r>
        <w:t xml:space="preserve"> Taking on care can mean unpaid leave, travel costs and lost freelance opportunities , the financial hit is real.</w:t>
      </w:r>
      <w:r/>
    </w:p>
    <w:p>
      <w:pPr>
        <w:pStyle w:val="ListBullet"/>
        <w:spacing w:line="240" w:lineRule="auto"/>
        <w:ind w:left="720"/>
      </w:pPr>
      <w:r/>
      <w:r>
        <w:rPr>
          <w:b/>
        </w:rPr>
        <w:t>Emotional distance:</w:t>
      </w:r>
      <w:r>
        <w:t xml:space="preserve"> Being physically present doesn’t guarantee emotional closeness; caretaking can feel like a duty rather than a deepening relationship.</w:t>
      </w:r>
      <w:r/>
    </w:p>
    <w:p>
      <w:pPr>
        <w:pStyle w:val="ListBullet"/>
        <w:spacing w:line="240" w:lineRule="auto"/>
        <w:ind w:left="720"/>
      </w:pPr>
      <w:r/>
      <w:r>
        <w:rPr>
          <w:b/>
        </w:rPr>
        <w:t>Unequal distribution:</w:t>
      </w:r>
      <w:r>
        <w:t xml:space="preserve"> Even when care is nominally shared, peripheral family members are often given the heavier load.</w:t>
      </w:r>
      <w:r/>
    </w:p>
    <w:p>
      <w:pPr>
        <w:pStyle w:val="ListBullet"/>
        <w:spacing w:line="240" w:lineRule="auto"/>
        <w:ind w:left="720"/>
      </w:pPr>
      <w:r/>
      <w:r>
        <w:rPr>
          <w:b/>
        </w:rPr>
        <w:t>Resources exist:</w:t>
      </w:r>
      <w:r>
        <w:t xml:space="preserve"> LGBT-specific caregiver guidance and health research highlight unique needs and rights for sexual minority caregivers.</w:t>
      </w:r>
      <w:r/>
      <w:r/>
    </w:p>
    <w:p>
      <w:pPr>
        <w:pStyle w:val="Heading2"/>
      </w:pPr>
      <w:r>
        <w:t>Why the gay son becomes ‘the available’ carer</w:t>
      </w:r>
      <w:r/>
    </w:p>
    <w:p>
      <w:r/>
      <w:r>
        <w:t>It’s tempting to call it coincidence, but plenty of families treat availability as destiny, and a son who’s single or childless suddenly becomes the default choice. That’s not neutral , it’s shaped by long-standing assumptions that an unmarried man’s schedule is flexible, that his relationship will absorb absences, and that he has fewer competing responsibilities. Research into caregiving dynamics and policy briefs on family roles show this pattern isn’t rare, it’s structural. If you’re the one being tapped, know that the request is more social shorthand than a thoughtful negotiation , and it’s okay to name that out loud.</w:t>
      </w:r>
      <w:r/>
    </w:p>
    <w:p>
      <w:pPr>
        <w:pStyle w:val="Heading2"/>
      </w:pPr>
      <w:r>
        <w:t>The financial and time strain nobody budgets for</w:t>
      </w:r>
      <w:r/>
    </w:p>
    <w:p>
      <w:r/>
      <w:r>
        <w:t>Caregiving isn’t just emotional labour; it comes with measurable costs. People who leave work early for appointments, take unpaid days off, or shoulder extra travel and medical expenses can see their incomes and retirement savings affected. Health-policy reviews and caregiver studies highlight how sudden care responsibilities can upend a person’s financial planning. Practical tip: track your hours and expenses from the start, ask about leave options at work, and explore reimbursement or tax relief where available. Those small records become powerful if you need to ask for help or compensation later.</w:t>
      </w:r>
      <w:r/>
    </w:p>
    <w:p>
      <w:pPr>
        <w:pStyle w:val="Heading2"/>
      </w:pPr>
      <w:r>
        <w:t>Being present but not known: emotional complexity in care</w:t>
      </w:r>
      <w:r/>
    </w:p>
    <w:p>
      <w:r/>
      <w:r>
        <w:t>You can be the person who delivers meds and drives to chemo and still feel like an outsider. Many gay men report that proximity doesn’t erase decades of emotional distance, and caregiving can underline how little was ever shared. That lack of intimacy can make the role feel hollow: you’re doing the work, but not gaining the closeness people assume comes with it. Counselling, peer groups, or even jotting down memories and questions to ask your parent can make the experience less isolating, and might open doors to small, meaningful conversations you never expected.</w:t>
      </w:r>
      <w:r/>
    </w:p>
    <w:p>
      <w:pPr>
        <w:pStyle w:val="Heading2"/>
      </w:pPr>
      <w:r>
        <w:t>How families decide without asking , and how to change it</w:t>
      </w:r>
      <w:r/>
    </w:p>
    <w:p>
      <w:r/>
      <w:r>
        <w:t>Often there’s no explicit request for help; assumptions do the asking for you. Siblings and other relatives may silently parcel out roles according to convenience rather than fairness. The result is a quiet inequity: the son who was peripheral gets made essential. The fix isn’t dramatic , it’s conversational. Bring up logistics early, define tasks, and ask siblings to commit to time, money or specific responsibilities. If everyone names what they can do, the labour becomes visible and negotiable instead of invisible and permanent.</w:t>
      </w:r>
      <w:r/>
    </w:p>
    <w:p>
      <w:pPr>
        <w:pStyle w:val="Heading2"/>
      </w:pPr>
      <w:r>
        <w:t>Where to find support and practical guidance</w:t>
      </w:r>
      <w:r/>
    </w:p>
    <w:p>
      <w:r/>
      <w:r>
        <w:t>There are tailored resources for LGBT caregivers that address legal, financial and emotional needs, and broader caregiver guides outline rights, respite options, and community services. Organisations focused on LGBT ageing and caregiver support provide FAQs, legal checklists and community referrals. Health reviews and caregiver networks also stress advance planning: powers of attorney, healthcare proxies and clear financial arrangements reduce last-minute pressure. Start with small steps , a legal appointment, an employer conversation, or a local support group , and build from there.</w:t>
      </w:r>
      <w:r/>
    </w:p>
    <w:p>
      <w:r/>
      <w:r>
        <w:t>It’s a small change to call the situation what it is and to ask for a fair share of help.</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[6]</w:t>
        </w:r>
      </w:hyperlink>
      <w:r>
        <w:t xml:space="preserve">- Paragraph 2: </w:t>
      </w:r>
      <w:hyperlink r:id="rId12">
        <w:r>
          <w:rPr>
            <w:color w:val="0000EE"/>
            <w:u w:val="single"/>
          </w:rPr>
          <w:t>[5]</w:t>
        </w:r>
      </w:hyperlink>
      <w:r>
        <w:t xml:space="preserve">, </w:t>
      </w:r>
      <w:hyperlink r:id="rId13">
        <w:r>
          <w:rPr>
            <w:color w:val="0000EE"/>
            <w:u w:val="single"/>
          </w:rPr>
          <w:t>[4]</w:t>
        </w:r>
      </w:hyperlink>
      <w:r>
        <w:t xml:space="preserve">- Paragraph 3: </w:t>
      </w:r>
      <w:hyperlink r:id="rId9">
        <w:r>
          <w:rPr>
            <w:color w:val="0000EE"/>
            <w:u w:val="single"/>
          </w:rPr>
          <w:t>[1]</w:t>
        </w:r>
      </w:hyperlink>
      <w:r>
        <w:t xml:space="preserve">, </w:t>
      </w:r>
      <w:hyperlink r:id="rId10">
        <w:r>
          <w:rPr>
            <w:color w:val="0000EE"/>
            <w:u w:val="single"/>
          </w:rPr>
          <w:t>[3]</w:t>
        </w:r>
      </w:hyperlink>
      <w:r>
        <w:t xml:space="preserve">- Paragraph 4: </w:t>
      </w:r>
      <w:hyperlink r:id="rId9">
        <w:r>
          <w:rPr>
            <w:color w:val="0000EE"/>
            <w:u w:val="single"/>
          </w:rPr>
          <w:t>[1]</w:t>
        </w:r>
      </w:hyperlink>
      <w:r>
        <w:t xml:space="preserve">, </w:t>
      </w:r>
      <w:hyperlink r:id="rId14">
        <w:r>
          <w:rPr>
            <w:color w:val="0000EE"/>
            <w:u w:val="single"/>
          </w:rPr>
          <w:t>[7]</w:t>
        </w:r>
      </w:hyperlink>
      <w:r>
        <w:t xml:space="preserve">- Paragraph 5: </w:t>
      </w:r>
      <w:hyperlink r:id="rId15">
        <w:r>
          <w:rPr>
            <w:color w:val="0000EE"/>
            <w:u w:val="single"/>
          </w:rPr>
          <w:t>[2]</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https://goodmenproject.com/featured-content/why-the-gay-son-gets-the-caretaking-burden-kpkn/</w:t>
        </w:r>
      </w:hyperlink>
      <w:r>
        <w:t xml:space="preserve"> - Please view link - unable to able to access data</w:t>
      </w:r>
      <w:r/>
    </w:p>
    <w:p>
      <w:pPr>
        <w:pStyle w:val="ListNumber"/>
        <w:spacing w:line="240" w:lineRule="auto"/>
        <w:ind w:left="720"/>
      </w:pPr>
      <w:r/>
      <w:hyperlink r:id="rId15">
        <w:r>
          <w:rPr>
            <w:color w:val="0000EE"/>
            <w:u w:val="single"/>
          </w:rPr>
          <w:t>https://pubmed.ncbi.nlm.nih.gov/39955264/</w:t>
        </w:r>
      </w:hyperlink>
      <w:r>
        <w:t xml:space="preserve"> - This study examines how gender and sexual orientation intersect to influence gay men's caregiving approaches for spouses with dementia. It finds that gay men's caregiving is shaped by a flexible division of household labor, experiences of discrimination, and their status as part of a same-sex couple, leading to unique caregiving strategies that combine task-oriented approaches with empathy and a deep understanding of the care receiver.</w:t>
      </w:r>
      <w:r/>
    </w:p>
    <w:p>
      <w:pPr>
        <w:pStyle w:val="ListNumber"/>
        <w:spacing w:line="240" w:lineRule="auto"/>
        <w:ind w:left="720"/>
      </w:pPr>
      <w:r/>
      <w:hyperlink r:id="rId10">
        <w:r>
          <w:rPr>
            <w:color w:val="0000EE"/>
            <w:u w:val="single"/>
          </w:rPr>
          <w:t>https://www.caregiver.org/resource/special-concerns-lgbt-caregivers/</w:t>
        </w:r>
      </w:hyperlink>
      <w:r>
        <w:t xml:space="preserve"> - This resource highlights the unique challenges faced by LGBTQ+ caregivers, emphasizing the importance of 'chosen families' in providing support. It discusses how LGBTQ+ individuals often form strong networks of friends who act as family, offering critical assistance in caregiving roles, especially when biological families are less accepting or absent.</w:t>
      </w:r>
      <w:r/>
    </w:p>
    <w:p>
      <w:pPr>
        <w:pStyle w:val="ListNumber"/>
        <w:spacing w:line="240" w:lineRule="auto"/>
        <w:ind w:left="720"/>
      </w:pPr>
      <w:r/>
      <w:hyperlink r:id="rId13">
        <w:r>
          <w:rPr>
            <w:color w:val="0000EE"/>
            <w:u w:val="single"/>
          </w:rPr>
          <w:t>https://www.mdpi.com/2227-9032/7/2/72</w:t>
        </w:r>
      </w:hyperlink>
      <w:r>
        <w:t xml:space="preserve"> - This article explores the emotional, financial, and physical burdens experienced by male caregivers in the United States. It reveals that sons report the highest levels of emotional and financial strain, particularly when assisting with personal care tasks, and highlights the underutilization of support and training among male caregivers.</w:t>
      </w:r>
      <w:r/>
    </w:p>
    <w:p>
      <w:pPr>
        <w:pStyle w:val="ListNumber"/>
        <w:spacing w:line="240" w:lineRule="auto"/>
        <w:ind w:left="720"/>
      </w:pPr>
      <w:r/>
      <w:hyperlink r:id="rId12">
        <w:r>
          <w:rPr>
            <w:color w:val="0000EE"/>
            <w:u w:val="single"/>
          </w:rPr>
          <w:t>https://pubmed.ncbi.nlm.nih.gov/10718079/</w:t>
        </w:r>
      </w:hyperlink>
      <w:r>
        <w:t xml:space="preserve"> - This study examines the range of family caregiving responsibilities among lesbians and gay men, including caring for children and adults with illnesses or disabilities. It finds that 32% of gay men and lesbians provide some form of caregiving assistance, with gay men more likely to assist working-age adults, while lesbians are more likely to care for children and elderly individuals.</w:t>
      </w:r>
      <w:r/>
    </w:p>
    <w:p>
      <w:pPr>
        <w:pStyle w:val="ListNumber"/>
        <w:spacing w:line="240" w:lineRule="auto"/>
        <w:ind w:left="720"/>
      </w:pPr>
      <w:r/>
      <w:hyperlink r:id="rId11">
        <w:r>
          <w:rPr>
            <w:color w:val="0000EE"/>
            <w:u w:val="single"/>
          </w:rPr>
          <w:t>https://www.ncbi.nlm.nih.gov/books/NBK566090/</w:t>
        </w:r>
      </w:hyperlink>
      <w:r>
        <w:t xml:space="preserve"> - This chapter discusses how same-sex spouses co-construct illness experiences, noting that men tend to downplay illness and perform less care work when their spouse is ill, while women tend to construct illness as involving intensive care work. It highlights that same-sex spouses describe less illness-related disagreement and stress around caregiving compared to different-sex couples.</w:t>
      </w:r>
      <w:r/>
    </w:p>
    <w:p>
      <w:pPr>
        <w:pStyle w:val="ListNumber"/>
        <w:spacing w:line="240" w:lineRule="auto"/>
        <w:ind w:left="720"/>
      </w:pPr>
      <w:r/>
      <w:hyperlink r:id="rId14">
        <w:r>
          <w:rPr>
            <w:color w:val="0000EE"/>
            <w:u w:val="single"/>
          </w:rPr>
          <w:t>https://www.caregiver.org/resource/lgbt-caregiving-frequently-asked-questions/</w:t>
        </w:r>
      </w:hyperlink>
      <w:r>
        <w:t xml:space="preserve"> - This FAQ addresses the unique needs of LGBTQ+ caregivers, noting that as the population of seniors grows, the number of LGBTQ+ seniors will also increase. It emphasizes the importance of understanding the specific challenges faced by LGBTQ+ caregivers and the need for services that are responsive to their unique needs.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oodmenproject.com/featured-content/why-the-gay-son-gets-the-caretaking-burden-kpkn/" TargetMode="External"/><Relationship Id="rId10" Type="http://schemas.openxmlformats.org/officeDocument/2006/relationships/hyperlink" Target="https://www.caregiver.org/resource/special-concerns-lgbt-caregivers/" TargetMode="External"/><Relationship Id="rId11" Type="http://schemas.openxmlformats.org/officeDocument/2006/relationships/hyperlink" Target="https://www.ncbi.nlm.nih.gov/books/NBK566090/" TargetMode="External"/><Relationship Id="rId12" Type="http://schemas.openxmlformats.org/officeDocument/2006/relationships/hyperlink" Target="https://pubmed.ncbi.nlm.nih.gov/10718079/" TargetMode="External"/><Relationship Id="rId13" Type="http://schemas.openxmlformats.org/officeDocument/2006/relationships/hyperlink" Target="https://www.mdpi.com/2227-9032/7/2/72" TargetMode="External"/><Relationship Id="rId14" Type="http://schemas.openxmlformats.org/officeDocument/2006/relationships/hyperlink" Target="https://www.caregiver.org/resource/lgbt-caregiving-frequently-asked-questions/" TargetMode="External"/><Relationship Id="rId15" Type="http://schemas.openxmlformats.org/officeDocument/2006/relationships/hyperlink" Target="https://pubmed.ncbi.nlm.nih.gov/3995526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