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Surge in Indonesia’s LGBTIQ Repression and What It Means for Rights Defenders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rights too: civil society groups and activists have sounded the alarm over a sharp rise in discrimination, online harassment and local rules targeting LGBTIQ people in Indonesia , a trend that now threatens defenders, service providers and civic space across the region.</w:t>
      </w:r>
      <w:r/>
    </w:p>
    <w:p>
      <w:r/>
      <w:r>
        <w:t>Essential Takeaways</w:t>
      </w:r>
      <w:r/>
      <w:r/>
    </w:p>
    <w:p>
      <w:pPr>
        <w:pStyle w:val="ListBullet"/>
        <w:spacing w:line="240" w:lineRule="auto"/>
        <w:ind w:left="720"/>
      </w:pPr>
      <w:r/>
      <w:r>
        <w:rPr>
          <w:b/>
        </w:rPr>
        <w:t>Government narrative shift:</w:t>
      </w:r>
      <w:r>
        <w:t xml:space="preserve"> Presidential Regulation No. 111 of 2025 has framed LGBTIQ issues as a “non-military” security concern, helping justify surveillance and local crackdowns.</w:t>
      </w:r>
      <w:r/>
    </w:p>
    <w:p>
      <w:pPr>
        <w:pStyle w:val="ListBullet"/>
        <w:spacing w:line="240" w:lineRule="auto"/>
        <w:ind w:left="720"/>
      </w:pPr>
      <w:r/>
      <w:r>
        <w:rPr>
          <w:b/>
        </w:rPr>
        <w:t>Wider targeting:</w:t>
      </w:r>
      <w:r>
        <w:t xml:space="preserve"> Legal aid, health workers, journalists and academics who support LGBTIQ rights are increasingly harassed and doxxed.</w:t>
      </w:r>
      <w:r/>
    </w:p>
    <w:p>
      <w:pPr>
        <w:pStyle w:val="ListBullet"/>
        <w:spacing w:line="240" w:lineRule="auto"/>
        <w:ind w:left="720"/>
      </w:pPr>
      <w:r/>
      <w:r>
        <w:rPr>
          <w:b/>
        </w:rPr>
        <w:t>Digital harm:</w:t>
      </w:r>
      <w:r>
        <w:t xml:space="preserve"> Coordinated online campaigns and buzzer armies have amplified hate speech and disinformation, making threats feel immediate and relentless.</w:t>
      </w:r>
      <w:r/>
    </w:p>
    <w:p>
      <w:pPr>
        <w:pStyle w:val="ListBullet"/>
        <w:spacing w:line="240" w:lineRule="auto"/>
        <w:ind w:left="720"/>
      </w:pPr>
      <w:r/>
      <w:r>
        <w:rPr>
          <w:b/>
        </w:rPr>
        <w:t>Risk of criminalisation:</w:t>
      </w:r>
      <w:r>
        <w:t xml:space="preserve"> Emerging local bylaws classifying “sexual deviance” could normalise arbitrary enforcement and criminal penalties.</w:t>
      </w:r>
      <w:r/>
    </w:p>
    <w:p>
      <w:pPr>
        <w:pStyle w:val="ListBullet"/>
        <w:spacing w:line="240" w:lineRule="auto"/>
        <w:ind w:left="720"/>
      </w:pPr>
      <w:r/>
      <w:r>
        <w:rPr>
          <w:b/>
        </w:rPr>
        <w:t>Practical stakes:</w:t>
      </w:r>
      <w:r>
        <w:t xml:space="preserve"> The repression affects everyday access to services and safety; victims report raids, threats, and reputational attacks that harm livelihoods.</w:t>
      </w:r>
      <w:r/>
      <w:r/>
    </w:p>
    <w:p>
      <w:pPr>
        <w:pStyle w:val="Heading2"/>
      </w:pPr>
      <w:r>
        <w:t>Why the new labels matter , and why they sting</w:t>
      </w:r>
      <w:r/>
    </w:p>
    <w:p>
      <w:r/>
      <w:r>
        <w:t>Label‑making isn’t just semantics when it comes from the state; it reshapes how people are policed and perceived. According to human rights monitors, President Prabowo Subianto’s 2025 regulation that tags alleged “dissemination of LGBTQ culture” as a security concern has supplied a fresh rationale for surveillance and raids, particularly against transgender women. That’s a cold, bureaucratic language that quickly turns into neighbourhood suspicion and enforcement on the ground.</w:t>
      </w:r>
      <w:r/>
    </w:p>
    <w:p>
      <w:r/>
      <w:r>
        <w:t>The essential danger is institutionalisation: once discrimination is written into policy, it’s easier for local councils to draft punitive bylaws. For anyone choosing a safe clinic or a defender offering legal help, that shift can mean the difference between quiet support and exposure to criminalisation.</w:t>
      </w:r>
      <w:r/>
    </w:p>
    <w:p>
      <w:pPr>
        <w:pStyle w:val="Heading2"/>
      </w:pPr>
      <w:r>
        <w:t>How online campaigns turbocharge real‑world harm</w:t>
      </w:r>
      <w:r/>
    </w:p>
    <w:p>
      <w:r/>
      <w:r>
        <w:t>Digital harassment now acts as the accelerant. Coordinated campaigns such as “Anti‑Boti Indonesia” have weaponised edited clips and disinformation to whip up moral panic, say observers. A single viral edit of a protest clip triggered waves of abuse for a transgender activist and then spread to singers, academics and community leaders.</w:t>
      </w:r>
      <w:r/>
    </w:p>
    <w:p>
      <w:r/>
      <w:r>
        <w:t>The outcome is predictable and pernicious: threats, doxxing, and reputational attacks that translate into loss of income, fear of leaving home, and self‑censorship. If you work in advocacy or provide services to marginalised groups, think of the internet not as neutral infrastructure but as the front line.</w:t>
      </w:r>
      <w:r/>
    </w:p>
    <w:p>
      <w:pPr>
        <w:pStyle w:val="Heading2"/>
      </w:pPr>
      <w:r>
        <w:t>Who’s being squeezed , and why defenders are next</w:t>
      </w:r>
      <w:r/>
    </w:p>
    <w:p>
      <w:r/>
      <w:r>
        <w:t>This isn’t only about LGBTIQ people: it’s about the ecosystem that supports them. Human rights organisations, legal aid clinics, health providers and journalists are finding themselves named and shamed in the same campaigns. Reports warn of attempts to delegitimise their work, shut down funding channels and push for vetting of activists.</w:t>
      </w:r>
      <w:r/>
    </w:p>
    <w:p>
      <w:r/>
      <w:r>
        <w:t>That pattern tracks a wider regional squeeze on civic space, where “public morality” and “national security” are frequently trotted out to curtail dissent. For defenders, the practical takeaway is to strengthen digital hygiene, document abuses rigorously, and seek protective measures from national human rights institutions.</w:t>
      </w:r>
      <w:r/>
    </w:p>
    <w:p>
      <w:pPr>
        <w:pStyle w:val="Heading2"/>
      </w:pPr>
      <w:r>
        <w:t>Practical tips for communities and allies</w:t>
      </w:r>
      <w:r/>
    </w:p>
    <w:p>
      <w:r/>
      <w:r>
        <w:t>If you’re an activist, service provider or friend of someone targeted, a few simple steps help reduce immediate risks: tighten online privacy settings, avoid sharing identifying location data, keep secure backups of casework, and use encrypted messaging where possible. Organisations should map digital threats, issue public statements early, and reach out to Komnas HAM or regional bodies for monitoring and support.</w:t>
      </w:r>
      <w:r/>
    </w:p>
    <w:p>
      <w:r/>
      <w:r>
        <w:t>Donors and partners can help too by funding legal support, digital security training, and emergency relocation resources. Small practical investments now can prevent life‑altering harms later.</w:t>
      </w:r>
      <w:r/>
    </w:p>
    <w:p>
      <w:pPr>
        <w:pStyle w:val="Heading2"/>
      </w:pPr>
      <w:r>
        <w:t>What the region and international bodies can do next</w:t>
      </w:r>
      <w:r/>
    </w:p>
    <w:p>
      <w:r/>
      <w:r>
        <w:t>Civil society calls for a stronger regional response are growing louder. FORUM‑ASIA and other groups urge Komnas HAM to monitor violations and for ASEAN mechanisms to treat these patterns as regional concerns. International pressure , targeted, rights‑based and consistent , can make a difference, but it needs to be linked to concrete protections on the ground.</w:t>
      </w:r>
      <w:r/>
    </w:p>
    <w:p>
      <w:r/>
      <w:r>
        <w:t>Looking ahead, the fight will be about reversing a policy narrative that equates identity with threat. That’s partly political work, partly legal challenges, and partly the slow business of rebuilding trust in institutions.</w:t>
      </w:r>
      <w:r/>
    </w:p>
    <w:p>
      <w:r/>
      <w:r>
        <w:t>It's a small change that can make every right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[4]</w:t>
        </w:r>
      </w:hyperlink>
      <w:r>
        <w:t xml:space="preserve">- Paragraph 6: </w:t>
      </w:r>
      <w:hyperlink r:id="rId12">
        <w:r>
          <w:rPr>
            <w:color w:val="0000EE"/>
            <w:u w:val="single"/>
          </w:rPr>
          <w:t>[7]</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https://forum-asia.org/indonesia-lgbtiq-repression-statement/?utm_source=rss&amp;utm_medium=rss&amp;utm_campaign=indonesia-lgbtiq-repression-statement</w:t>
        </w:r>
      </w:hyperlink>
      <w:r>
        <w:t xml:space="preserve"> - Please view link - unable to able to access data</w:t>
      </w:r>
      <w:r/>
    </w:p>
    <w:p>
      <w:pPr>
        <w:pStyle w:val="ListNumber"/>
        <w:spacing w:line="240" w:lineRule="auto"/>
        <w:ind w:left="720"/>
      </w:pPr>
      <w:r/>
      <w:hyperlink r:id="rId10">
        <w:r>
          <w:rPr>
            <w:color w:val="0000EE"/>
            <w:u w:val="single"/>
          </w:rPr>
          <w:t>https://www.hrw.org/news/2026/07/07/indonesia-surge-in-abuse-against-lgbt-students</w:t>
        </w:r>
      </w:hyperlink>
      <w:r>
        <w:t xml:space="preserve"> - Human Rights Watch reports a surge in abuse against LGBT students in Indonesia during the June 2026 Pride Month celebrations. At least 10 public universities have recently adopted discriminatory regulations, curbing student media coverage and social media discussions around gender and sexual diversity, undermining freedom of expression. The Indonesian government is urged to review and revise laws and policies that facilitate attacks on LGBT people, and university administrators are called upon to protect academic freedom and freedom of expression.</w:t>
      </w:r>
      <w:r/>
    </w:p>
    <w:p>
      <w:pPr>
        <w:pStyle w:val="ListNumber"/>
        <w:spacing w:line="240" w:lineRule="auto"/>
        <w:ind w:left="720"/>
      </w:pPr>
      <w:r/>
      <w:hyperlink r:id="rId15">
        <w:r>
          <w:rPr>
            <w:color w:val="0000EE"/>
            <w:u w:val="single"/>
          </w:rPr>
          <w:t>https://www.hrw.org/news/2026/03/24/indonesia-acid-attack-against-rights-activist</w:t>
        </w:r>
      </w:hyperlink>
      <w:r>
        <w:t xml:space="preserve"> - Human Rights Watch condemns the acid attack against Indonesian human rights defender Andrie Yunus, Deputy Coordinator of KontraS, in Jakarta on 12 March 2026. The attack, which left Yunus with serious burns covering 24% of his body, appears to be a deliberate act of violence aimed at silencing critical voices and targeting those who work to defend human rights in Indonesia. The incident reflects the continued risks faced by human rights defenders in the country.</w:t>
      </w:r>
      <w:r/>
    </w:p>
    <w:p>
      <w:pPr>
        <w:pStyle w:val="ListNumber"/>
        <w:spacing w:line="240" w:lineRule="auto"/>
        <w:ind w:left="720"/>
      </w:pPr>
      <w:r/>
      <w:hyperlink r:id="rId14">
        <w:r>
          <w:rPr>
            <w:color w:val="0000EE"/>
            <w:u w:val="single"/>
          </w:rPr>
          <w:t>https://www.hrw.org/news/2026/05/19/indonesia-plan-to-vet-human-rights-defenders</w:t>
        </w:r>
      </w:hyperlink>
      <w:r>
        <w:t xml:space="preserve"> - Human Rights Watch reports that an Indonesian official announced on 30 April 2026 that the government would seek to amend the country’s 1999 Human Rights Law to allow authorities to determine who is a recognized human rights defender. This proposed revision raises concerns about the potential for the government to control and limit the activities of human rights defenders, undermining protections and freedoms.</w:t>
      </w:r>
      <w:r/>
    </w:p>
    <w:p>
      <w:pPr>
        <w:pStyle w:val="ListNumber"/>
        <w:spacing w:line="240" w:lineRule="auto"/>
        <w:ind w:left="720"/>
      </w:pPr>
      <w:r/>
      <w:hyperlink r:id="rId11">
        <w:r>
          <w:rPr>
            <w:color w:val="0000EE"/>
            <w:u w:val="single"/>
          </w:rPr>
          <w:t>https://www.asia-pacific-solidarity.net/news/2026-07-09/anti-lgbtq-regulation-fuels-fears-criminalisation-indonesia.html</w:t>
        </w:r>
      </w:hyperlink>
      <w:r>
        <w:t xml:space="preserve"> - The Jakarta Post reports that a presidential regulation classifying LGBTQ 'culture' as a nonmilitary threat has drawn sharp criticism from civil society groups. They warn it could provide legal and political justification for further criminalizing the vulnerable minority, while lawmakers and religious groups defend the policy as necessary to 'safeguard' national resilience. The regulation risks legitimizing further discrimination against the LGBTQ community.</w:t>
      </w:r>
      <w:r/>
    </w:p>
    <w:p>
      <w:pPr>
        <w:pStyle w:val="ListNumber"/>
        <w:spacing w:line="240" w:lineRule="auto"/>
        <w:ind w:left="720"/>
      </w:pPr>
      <w:r/>
      <w:hyperlink r:id="rId13">
        <w:r>
          <w:rPr>
            <w:color w:val="0000EE"/>
            <w:u w:val="single"/>
          </w:rPr>
          <w:t>https://outrightinternational.org/our-work/asia/indonesia</w:t>
        </w:r>
      </w:hyperlink>
      <w:r>
        <w:t xml:space="preserve"> - OutRight International provides an overview of the situation in Indonesia, noting that on 2 January 2026, Indonesia’s new penal code went into force after being signed into law in December 2022. The code penalizes all consensual extra-marital sex between adults with two years’ imprisonment. As same-sex marriage is not permitted, this effectively criminalizes all consensual same-sex sexual relations, though prosecution must be based on a complaint from the alleged offender’s spouse, parent, or child.</w:t>
      </w:r>
      <w:r/>
    </w:p>
    <w:p>
      <w:pPr>
        <w:pStyle w:val="ListNumber"/>
        <w:spacing w:line="240" w:lineRule="auto"/>
        <w:ind w:left="720"/>
      </w:pPr>
      <w:r/>
      <w:hyperlink r:id="rId12">
        <w:r>
          <w:rPr>
            <w:color w:val="0000EE"/>
            <w:u w:val="single"/>
          </w:rPr>
          <w:t>https://aseansogiecaucus.org/latest/asc-statements/343-queer-lives-are-not-a-security-threat-a-call-for-regional-and-international-solidarity-on-the-escalating-violence-against-lgbtq-people-in-indonesia</w:t>
        </w:r>
      </w:hyperlink>
      <w:r>
        <w:t xml:space="preserve"> - The ASEAN SOGIE Caucus raises an urgent alarm to queer communities, civil society organisations, human rights defenders, and allies across Southeast Asia and beyond regarding the escalating attacks against LGBTQ people in Indonesia. Indonesia was a co-sponsor of The Geneva Consensus Declaration 2020, a conservative document opposing reproductive rights and LGBTQ rights. This declaration, driven by the conservative authoritarian regime of the United States under the Trump administration, has been effectively reflected in Indonesia’s regulations.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orum-asia.org/indonesia-lgbtiq-repression-statement/?utm_source=rss&amp;utm_medium=rss&amp;utm_campaign=indonesia-lgbtiq-repression-statement" TargetMode="External"/><Relationship Id="rId10" Type="http://schemas.openxmlformats.org/officeDocument/2006/relationships/hyperlink" Target="https://www.hrw.org/news/2026/07/07/indonesia-surge-in-abuse-against-lgbt-students" TargetMode="External"/><Relationship Id="rId11" Type="http://schemas.openxmlformats.org/officeDocument/2006/relationships/hyperlink" Target="https://www.asia-pacific-solidarity.net/news/2026-07-09/anti-lgbtq-regulation-fuels-fears-criminalisation-indonesia.html" TargetMode="External"/><Relationship Id="rId12" Type="http://schemas.openxmlformats.org/officeDocument/2006/relationships/hyperlink" Target="https://aseansogiecaucus.org/latest/asc-statements/343-queer-lives-are-not-a-security-threat-a-call-for-regional-and-international-solidarity-on-the-escalating-violence-against-lgbtq-people-in-indonesia" TargetMode="External"/><Relationship Id="rId13" Type="http://schemas.openxmlformats.org/officeDocument/2006/relationships/hyperlink" Target="https://outrightinternational.org/our-work/asia/indonesia" TargetMode="External"/><Relationship Id="rId14" Type="http://schemas.openxmlformats.org/officeDocument/2006/relationships/hyperlink" Target="https://www.hrw.org/news/2026/05/19/indonesia-plan-to-vet-human-rights-defenders" TargetMode="External"/><Relationship Id="rId15" Type="http://schemas.openxmlformats.org/officeDocument/2006/relationships/hyperlink" Target="https://www.hrw.org/news/2026/03/24/indonesia-acid-attack-against-rights-activ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