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Schools Can Handle Pride Flags Without Turning Classrooms Political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parents are noticing school boards debating whether displays like Pride flags belong in classrooms, and the debate matters because it raises free-speech, inclusion and practical questions about what schools should look like. Here’s a clear, humane guide to why flags aren’t inherently political and how schools can respond.</w:t>
      </w:r>
      <w:r/>
    </w:p>
    <w:p>
      <w:r/>
      <w:r>
        <w:t>Essential Takeaways</w:t>
      </w:r>
      <w:r/>
      <w:r/>
    </w:p>
    <w:p>
      <w:pPr>
        <w:pStyle w:val="ListBullet"/>
        <w:spacing w:line="240" w:lineRule="auto"/>
        <w:ind w:left="720"/>
      </w:pPr>
      <w:r/>
      <w:r>
        <w:rPr>
          <w:b/>
        </w:rPr>
        <w:t>Legal reality:</w:t>
      </w:r>
      <w:r>
        <w:t xml:space="preserve"> Public-school students keep broad First Amendment protections for personal expression; staff have fewer protections while on duty.</w:t>
      </w:r>
      <w:r/>
    </w:p>
    <w:p>
      <w:pPr>
        <w:pStyle w:val="ListBullet"/>
        <w:spacing w:line="240" w:lineRule="auto"/>
        <w:ind w:left="720"/>
      </w:pPr>
      <w:r/>
      <w:r>
        <w:rPr>
          <w:b/>
        </w:rPr>
        <w:t>Symbol meaning:</w:t>
      </w:r>
      <w:r>
        <w:t xml:space="preserve"> The Pride flag primarily signals community and dignity, not a specific political platform.</w:t>
      </w:r>
      <w:r/>
    </w:p>
    <w:p>
      <w:pPr>
        <w:pStyle w:val="ListBullet"/>
        <w:spacing w:line="240" w:lineRule="auto"/>
        <w:ind w:left="720"/>
      </w:pPr>
      <w:r/>
      <w:r>
        <w:rPr>
          <w:b/>
        </w:rPr>
        <w:t>Practical tip:</w:t>
      </w:r>
      <w:r>
        <w:t xml:space="preserve"> Clear, narrow policies that distinguish student expression from official curriculum reduce confusion and legal risk.</w:t>
      </w:r>
      <w:r/>
    </w:p>
    <w:p>
      <w:pPr>
        <w:pStyle w:val="ListBullet"/>
        <w:spacing w:line="240" w:lineRule="auto"/>
        <w:ind w:left="720"/>
      </w:pPr>
      <w:r/>
      <w:r>
        <w:rPr>
          <w:b/>
        </w:rPr>
        <w:t>Classroom feel:</w:t>
      </w:r>
      <w:r>
        <w:t xml:space="preserve"> Inclusive visuals can make vulnerable pupils feel safer, while neutral options exist for schools seeking balance.</w:t>
      </w:r>
      <w:r/>
    </w:p>
    <w:p>
      <w:pPr>
        <w:pStyle w:val="ListBullet"/>
        <w:spacing w:line="240" w:lineRule="auto"/>
        <w:ind w:left="720"/>
      </w:pPr>
      <w:r/>
      <w:r>
        <w:rPr>
          <w:b/>
        </w:rPr>
        <w:t>Teaching moment:</w:t>
      </w:r>
      <w:r>
        <w:t xml:space="preserve"> Schools can use disputes as civics lessons about free speech, pluralism and respectful disagreement.</w:t>
      </w:r>
      <w:r/>
      <w:r/>
    </w:p>
    <w:p>
      <w:pPr>
        <w:pStyle w:val="Heading2"/>
      </w:pPr>
      <w:r>
        <w:t>Why calling a Pride flag "political" misses the point</w:t>
      </w:r>
      <w:r/>
    </w:p>
    <w:p>
      <w:r/>
      <w:r>
        <w:t>Start with a simple sight: a small rainbow flag at the front of a classroom feels warm and human, not combative. According to court history, student speech has strong First Amendment protection, while employee speech in official duties is more regulable. That legal split explains why boards think they can ban items in staff spaces, yet students often retain the right to display personal messages. Practically, branding every symbol "political" flattens nuance , the Pride flag signals identity and safety for many pupils, and treating it as mere politics risks making schoolrooms feel sterile.</w:t>
      </w:r>
      <w:r/>
    </w:p>
    <w:p>
      <w:pPr>
        <w:pStyle w:val="Heading2"/>
      </w:pPr>
      <w:r>
        <w:t>What the law actually permits , and what it doesn’t</w:t>
      </w:r>
      <w:r/>
    </w:p>
    <w:p>
      <w:r/>
      <w:r>
        <w:t>Tinker v. Des Moines is the touchstone case on student expression and shows courts protect symbolic speech that doesn’t materially disrupt school. Government employers, including schools, also have latitude to regulate on-duty staff speech to preserve a neutral learning environment. So, while boards may have legal cover to restrict staff displays, outright bans on student expression are much riskier. For administrators, that means policy wording matters: target conduct and disruption, not viewpoints.</w:t>
      </w:r>
      <w:r/>
    </w:p>
    <w:p>
      <w:pPr>
        <w:pStyle w:val="Heading2"/>
      </w:pPr>
      <w:r>
        <w:t>How schools can write fair, clear policies</w:t>
      </w:r>
      <w:r/>
    </w:p>
    <w:p>
      <w:r/>
      <w:r>
        <w:t>If the goal is to avoid classroom controversy, ambiguity is the enemy. Policies should state who can display what, where, and when , for instance, student locker and clothing expression versus official classroom decorations. Define "school-sponsored" spaces so teachers know what’s permitted during lessons versus a teacher’s personal workspace. Include simple appeal processes and examples so families and staff can see the line. A well-drafted rule reduces ad-hoc enforcement and the inevitable charge of bias.</w:t>
      </w:r>
      <w:r/>
    </w:p>
    <w:p>
      <w:pPr>
        <w:pStyle w:val="Heading2"/>
      </w:pPr>
      <w:r>
        <w:t>Balancing inclusion and neutrality without theatrics</w:t>
      </w:r>
      <w:r/>
    </w:p>
    <w:p>
      <w:r/>
      <w:r>
        <w:t>You can support vulnerable students without turning every corridor into a message board. Consider neutral inclusion measures: official anti-bullying statements, staff training in pastoral care, and designated bulletin boards for community groups. These actions create a culture of respect while giving boards a defensible, consistent approach. Meanwhile, letting students display personal symbols in appropriate spaces affirms identity and prepares them for a plural society.</w:t>
      </w:r>
      <w:r/>
    </w:p>
    <w:p>
      <w:pPr>
        <w:pStyle w:val="Heading2"/>
      </w:pPr>
      <w:r>
        <w:t>Use disagreements as a civics lesson</w:t>
      </w:r>
      <w:r/>
    </w:p>
    <w:p>
      <w:r/>
      <w:r>
        <w:t>When conflicts arise, they’re ripe for education. Rather than quick bans, schools can invite structured conversations about why people display symbols, how free speech works, and how to disagree respectfully. That approach reflects the broader point: kids will live in a world of diverse views, and schools should teach them to navigate that reality. Turning disputes into learning moments shows confidence in students’ ability to engage with difference.</w:t>
      </w:r>
      <w:r/>
    </w:p>
    <w:p>
      <w:r/>
      <w:r>
        <w:t>It's a small change to policy language and school culture that can make classrooms feel human without sacrificing fairness.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3">
        <w:r>
          <w:rPr>
            <w:color w:val="0000EE"/>
            <w:u w:val="single"/>
          </w:rPr>
          <w:t>[5]</w:t>
        </w:r>
      </w:hyperlink>
      <w:r>
        <w:t xml:space="preserve">, </w:t>
      </w:r>
      <w:hyperlink r:id="rId12">
        <w:r>
          <w:rPr>
            <w:color w:val="0000EE"/>
            <w:u w:val="single"/>
          </w:rPr>
          <w:t>[6]</w:t>
        </w:r>
      </w:hyperlink>
      <w:r>
        <w:t xml:space="preserve">- Paragraph 4: </w:t>
      </w:r>
      <w:hyperlink r:id="rId11">
        <w:r>
          <w:rPr>
            <w:color w:val="0000EE"/>
            <w:u w:val="single"/>
          </w:rPr>
          <w:t>[3]</w:t>
        </w:r>
      </w:hyperlink>
      <w:r>
        <w:t xml:space="preserve">, </w:t>
      </w:r>
      <w:hyperlink r:id="rId14">
        <w:r>
          <w:rPr>
            <w:color w:val="0000EE"/>
            <w:u w:val="single"/>
          </w:rPr>
          <w:t>[7]</w:t>
        </w:r>
      </w:hyperlink>
      <w:r>
        <w:t xml:space="preserve">- Paragraph 5: </w:t>
      </w:r>
      <w:hyperlink r:id="rId15">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https://www.inforum.com/opinion/columns/port-pride-flags-arent-political</w:t>
        </w:r>
      </w:hyperlink>
      <w:r>
        <w:t xml:space="preserve"> - Please view link - unable to able to access data</w:t>
      </w:r>
      <w:r/>
    </w:p>
    <w:p>
      <w:pPr>
        <w:pStyle w:val="ListNumber"/>
        <w:spacing w:line="240" w:lineRule="auto"/>
        <w:ind w:left="720"/>
      </w:pPr>
      <w:r/>
      <w:hyperlink r:id="rId10">
        <w:r>
          <w:rPr>
            <w:color w:val="0000EE"/>
            <w:u w:val="single"/>
          </w:rPr>
          <w:t>https://www.uscourts.gov/about-federal-courts/educational-resources/educational-activities/first-amendment-activities/tinker-v-des-moines/facts-and-case-summary-tinker-v-des-moines</w:t>
        </w:r>
      </w:hyperlink>
      <w:r>
        <w:t xml:space="preserve"> - This resource provides a detailed overview of the Tinker v. Des Moines case, highlighting the events leading to the Supreme Court's decision that students do not lose their constitutional rights to freedom of speech or expression at the schoolhouse gate. The case involved students protesting the Vietnam War by wearing black armbands, leading to their suspension and a landmark ruling on student free speech rights.</w:t>
      </w:r>
      <w:r/>
    </w:p>
    <w:p>
      <w:pPr>
        <w:pStyle w:val="ListNumber"/>
        <w:spacing w:line="240" w:lineRule="auto"/>
        <w:ind w:left="720"/>
      </w:pPr>
      <w:r/>
      <w:hyperlink r:id="rId11">
        <w:r>
          <w:rPr>
            <w:color w:val="0000EE"/>
            <w:u w:val="single"/>
          </w:rPr>
          <w:t>https://www.uscourts.gov/about-federal-courts/educational-resources/about-educational-outreach/activity-resources/what-does-free-speech-mean</w:t>
        </w:r>
      </w:hyperlink>
      <w:r>
        <w:t xml:space="preserve"> - This educational resource from the U.S. Courts offers an in-depth explanation of the First Amendment, including its protection of freedom of speech. It discusses various forms of speech, both direct and symbolic, that the Court has decided are either entitled to First Amendment protections or not, providing context for understanding student free speech rights in schools.</w:t>
      </w:r>
      <w:r/>
    </w:p>
    <w:p>
      <w:pPr>
        <w:pStyle w:val="ListNumber"/>
        <w:spacing w:line="240" w:lineRule="auto"/>
        <w:ind w:left="720"/>
      </w:pPr>
      <w:r/>
      <w:hyperlink r:id="rId15">
        <w:r>
          <w:rPr>
            <w:color w:val="0000EE"/>
            <w:u w:val="single"/>
          </w:rPr>
          <w:t>https://en.wikipedia.org/wiki/First_Amendment_to_the_United_States_Constitution</w:t>
        </w:r>
      </w:hyperlink>
      <w:r>
        <w:t xml:space="preserve"> - The Wikipedia page on the First Amendment provides a comprehensive overview of its provisions, including the freedom of speech. It details significant Supreme Court cases, such as Tinker v. Des Moines, that have shaped the interpretation of free speech rights, particularly in the context of student expression in schools.</w:t>
      </w:r>
      <w:r/>
    </w:p>
    <w:p>
      <w:pPr>
        <w:pStyle w:val="ListNumber"/>
        <w:spacing w:line="240" w:lineRule="auto"/>
        <w:ind w:left="720"/>
      </w:pPr>
      <w:r/>
      <w:hyperlink r:id="rId13">
        <w:r>
          <w:rPr>
            <w:color w:val="0000EE"/>
            <w:u w:val="single"/>
          </w:rPr>
          <w:t>https://firstamendment.mtsu.edu/article/tinker-v-des-moines-independent-community-school-district/</w:t>
        </w:r>
      </w:hyperlink>
      <w:r>
        <w:t xml:space="preserve"> - This article from the First Amendment Encyclopedia offers an in-depth analysis of the Tinker v. Des Moines case, discussing the background, legal arguments, and the Supreme Court's decision that affirmed students' rights to free speech in public schools, even when such expression is controversial.</w:t>
      </w:r>
      <w:r/>
    </w:p>
    <w:p>
      <w:pPr>
        <w:pStyle w:val="ListNumber"/>
        <w:spacing w:line="240" w:lineRule="auto"/>
        <w:ind w:left="720"/>
      </w:pPr>
      <w:r/>
      <w:hyperlink r:id="rId12">
        <w:r>
          <w:rPr>
            <w:color w:val="0000EE"/>
            <w:u w:val="single"/>
          </w:rPr>
          <w:t>https://www.khanacademy.org/humanities/ap-us-government-and-politics/civil-liberties-and-civil-rights/first-amendment-speech/a/tinker-v-des-moines</w:t>
        </w:r>
      </w:hyperlink>
      <w:r>
        <w:t xml:space="preserve"> - Khan Academy's article on Tinker v. Des Moines provides a concise explanation of the case, its background, and the Supreme Court's ruling that students do not shed their constitutional rights to freedom of speech or expression at the schoolhouse gate, highlighting the significance of this decision in student free speech rights.</w:t>
      </w:r>
      <w:r/>
    </w:p>
    <w:p>
      <w:pPr>
        <w:pStyle w:val="ListNumber"/>
        <w:spacing w:line="240" w:lineRule="auto"/>
        <w:ind w:left="720"/>
      </w:pPr>
      <w:r/>
      <w:hyperlink r:id="rId14">
        <w:r>
          <w:rPr>
            <w:color w:val="0000EE"/>
            <w:u w:val="single"/>
          </w:rPr>
          <w:t>https://www.khanacademy.org/humanities/us-government-and-civics/us-gov-civil-liberties-and-civil-rights/us-gov-the-first-amendment-freedom-of-speech/a/tinker-v-des-moines</w:t>
        </w:r>
      </w:hyperlink>
      <w:r>
        <w:t xml:space="preserve"> - This Khan Academy resource offers an overview of the Tinker v. Des Moines case, discussing how the Supreme Court ruled that students' symbolic speech, such as wearing black armbands to protest the Vietnam War, is protected under the First Amendment, reinforcing the principle that students retain their free speech rights in schools.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forum.com/opinion/columns/port-pride-flags-arent-political" TargetMode="External"/><Relationship Id="rId10" Type="http://schemas.openxmlformats.org/officeDocument/2006/relationships/hyperlink" Target="https://www.uscourts.gov/about-federal-courts/educational-resources/educational-activities/first-amendment-activities/tinker-v-des-moines/facts-and-case-summary-tinker-v-des-moines" TargetMode="External"/><Relationship Id="rId11" Type="http://schemas.openxmlformats.org/officeDocument/2006/relationships/hyperlink" Target="https://www.uscourts.gov/about-federal-courts/educational-resources/about-educational-outreach/activity-resources/what-does-free-speech-mean" TargetMode="External"/><Relationship Id="rId12" Type="http://schemas.openxmlformats.org/officeDocument/2006/relationships/hyperlink" Target="https://www.khanacademy.org/humanities/ap-us-government-and-politics/civil-liberties-and-civil-rights/first-amendment-speech/a/tinker-v-des-moines" TargetMode="External"/><Relationship Id="rId13" Type="http://schemas.openxmlformats.org/officeDocument/2006/relationships/hyperlink" Target="https://firstamendment.mtsu.edu/article/tinker-v-des-moines-independent-community-school-district/" TargetMode="External"/><Relationship Id="rId14" Type="http://schemas.openxmlformats.org/officeDocument/2006/relationships/hyperlink" Target="https://www.khanacademy.org/humanities/us-government-and-civics/us-gov-civil-liberties-and-civil-rights/us-gov-the-first-amendment-freedom-of-speech/a/tinker-v-des-moines" TargetMode="External"/><Relationship Id="rId15" Type="http://schemas.openxmlformats.org/officeDocument/2006/relationships/hyperlink" Target="https://en.wikipedia.org/wiki/First_Amendment_to_the_United_States_Constitu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