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Reporting on “Family Values” Conferences and the Human Rights Cost in Africa</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Spotlight growing: activists, lawmakers and foreign faith networks are reshaping family-policy debates across Africa, and the stakes are human rights. This piece explains who’s involved, how model laws travel, why it matters for LGBT, women’s health and children’s education, and what citizens and lawmakers can watch for next.</w:t>
      </w:r>
      <w:r/>
    </w:p>
    <w:p>
      <w:r/>
      <w:r>
        <w:t>Essential Takeaways</w:t>
      </w:r>
      <w:r/>
      <w:r/>
    </w:p>
    <w:p>
      <w:pPr>
        <w:pStyle w:val="ListBullet"/>
        <w:spacing w:line="240" w:lineRule="auto"/>
        <w:ind w:left="720"/>
      </w:pPr>
      <w:r/>
      <w:r>
        <w:rPr>
          <w:b/>
        </w:rPr>
        <w:t>Cross-border networks matter:</w:t>
      </w:r>
      <w:r>
        <w:t xml:space="preserve"> Political, religious and foreign groups coordinate conferences that produce model bills and strategies, creating a pipeline for legislation. </w:t>
      </w:r>
      <w:r/>
    </w:p>
    <w:p>
      <w:pPr>
        <w:pStyle w:val="ListBullet"/>
        <w:spacing w:line="240" w:lineRule="auto"/>
        <w:ind w:left="720"/>
      </w:pPr>
      <w:r/>
      <w:r>
        <w:rPr>
          <w:b/>
        </w:rPr>
        <w:t>Ghana as a hub:</w:t>
      </w:r>
      <w:r>
        <w:t xml:space="preserve"> Recent gatherings in Accra accelerated an anti‑LGBT bill and hosted dozens of regional actors, giving the campaign public legitimacy and momentum. </w:t>
      </w:r>
      <w:r/>
    </w:p>
    <w:p>
      <w:pPr>
        <w:pStyle w:val="ListBullet"/>
        <w:spacing w:line="240" w:lineRule="auto"/>
        <w:ind w:left="720"/>
      </w:pPr>
      <w:r/>
      <w:r>
        <w:rPr>
          <w:b/>
        </w:rPr>
        <w:t>Health and rights impact:</w:t>
      </w:r>
      <w:r>
        <w:t xml:space="preserve"> Criminalising identity and limiting sexual and reproductive services threatens HIV responses, girls’ bodily autonomy and access to evidence‑based education. </w:t>
      </w:r>
      <w:r/>
    </w:p>
    <w:p>
      <w:pPr>
        <w:pStyle w:val="ListBullet"/>
        <w:spacing w:line="240" w:lineRule="auto"/>
        <w:ind w:left="720"/>
      </w:pPr>
      <w:r/>
      <w:r>
        <w:rPr>
          <w:b/>
        </w:rPr>
        <w:t>Charter vs treaties:</w:t>
      </w:r>
      <w:r>
        <w:t xml:space="preserve"> The proposed “family values” charter seeks to erase diverse family forms and clashes with regional instruments like the Maputo Protocol. </w:t>
      </w:r>
      <w:r/>
    </w:p>
    <w:p>
      <w:pPr>
        <w:pStyle w:val="ListBullet"/>
        <w:spacing w:line="240" w:lineRule="auto"/>
        <w:ind w:left="720"/>
      </w:pPr>
      <w:r/>
      <w:r>
        <w:rPr>
          <w:b/>
        </w:rPr>
        <w:t>Watch the tactics:</w:t>
      </w:r>
      <w:r>
        <w:t xml:space="preserve"> Organisers use language of sovereignty and anti‑colonialism while borrowing playbooks from foreign conservative movements.</w:t>
      </w:r>
      <w:r/>
      <w:r/>
    </w:p>
    <w:p>
      <w:pPr>
        <w:pStyle w:val="Heading2"/>
      </w:pPr>
      <w:r>
        <w:t>How conferences turn ideas into laws , and why the air feels charged</w:t>
      </w:r>
      <w:r/>
    </w:p>
    <w:p>
      <w:r/>
      <w:r>
        <w:t>Conferences billed as defending “family values” are doing more than swapping speeches; they’re turning policy into packaged law. The Accra meeting in June assembled politicians, faith leaders and foreign organisers and left behind a draft charter and renewed push for domestic bills. According to regional reporting, those spaces provide resources, model text and political cover for lawmakers who want a ready‑made legislative script.</w:t>
      </w:r>
      <w:r/>
    </w:p>
    <w:p>
      <w:r/>
      <w:r>
        <w:t>Backstory matters: these gatherings aren’t spontaneous grassroots movements but coordinated events that build alliances across borders. Organisations based in Europe and the United States supply finances, messaging templates and convening power. That’s why courses of action that sound homegrown often trace directly to transnational networks.</w:t>
      </w:r>
      <w:r/>
    </w:p>
    <w:p>
      <w:r/>
      <w:r>
        <w:t>Practical insight: when you see a conference publish a draft charter or declaration, expect that language to appear word‑for‑word in national bills months later. Civil society and watchdogs can use that predictability to prepare rapid responses.</w:t>
      </w:r>
      <w:r/>
    </w:p>
    <w:p>
      <w:pPr>
        <w:pStyle w:val="Heading2"/>
      </w:pPr>
      <w:r>
        <w:t>Ghana’s moment , why Accra looked less local and more international</w:t>
      </w:r>
      <w:r/>
    </w:p>
    <w:p>
      <w:r/>
      <w:r>
        <w:t>Ghana’s recent hosting duty turned the capital into a regional stage. The conference brought together hundreds of delegates from multiple countries and featured high‑level attendance that lent political legitimacy. Days before the forum, Parliament sped up consideration of an anti‑LGBT bill that would criminalise identity and mandate reporting , a legal package critics say mirrors text pushed at the conference.</w:t>
      </w:r>
      <w:r/>
    </w:p>
    <w:p>
      <w:r/>
      <w:r>
        <w:t>The pattern isn’t unique. Previous gatherings in Uganda and elsewhere served as relays for model laws, and delegates routinely return home with draft legislation in hand. That creates a clear trajectory from conference hall to committee room.</w:t>
      </w:r>
      <w:r/>
    </w:p>
    <w:p>
      <w:r/>
      <w:r>
        <w:t>Practical tip: journalists and defenders should monitor which lawmakers attend these events and compare conference text with bills filed domestically , the overlap is often revealing.</w:t>
      </w:r>
      <w:r/>
    </w:p>
    <w:p>
      <w:pPr>
        <w:pStyle w:val="Heading2"/>
      </w:pPr>
      <w:r>
        <w:t>The health and education consequences are immediate, practical and human</w:t>
      </w:r>
      <w:r/>
    </w:p>
    <w:p>
      <w:r/>
      <w:r>
        <w:t>Laws that criminalise sexual orientation, ban comprehensive sexuality education, or restrict reproductive services don’t just send a moral message; they change people’s access to care. In contexts where testing, treatment and prevention of HIV depend on trust and confidentiality, new criminal provisions and social stigma push communities away from services.</w:t>
      </w:r>
      <w:r/>
    </w:p>
    <w:p>
      <w:r/>
      <w:r>
        <w:t>Public‑health bodies have warned these laws hinder progress toward ending AIDS and put vulnerable groups at risk. Beyond clinical care, removing age‑appropriate, evidence‑based education leaves children without the information they need to stay safe.</w:t>
      </w:r>
      <w:r/>
    </w:p>
    <w:p>
      <w:r/>
      <w:r>
        <w:t>Practical action: health services and educators should map where legal changes threaten essential programmes and build contingency plans now, including mobile, confidential outreach and legal aid partnerships.</w:t>
      </w:r>
      <w:r/>
    </w:p>
    <w:p>
      <w:pPr>
        <w:pStyle w:val="Heading2"/>
      </w:pPr>
      <w:r>
        <w:t>The draft charter and the conflict with regional treaties</w:t>
      </w:r>
      <w:r/>
    </w:p>
    <w:p>
      <w:r/>
      <w:r>
        <w:t>Organisers are promoting an African Charter on Family, Sovereignty and Values that defines family in strictly heterosexual, hierarchical terms and rejects sexual and reproductive rights. While framed as reclaiming African identity, the draft mirrors narratives long advanced by certain US and European conservative groups, and it directly contradicts regional commitments like the Maputo Protocol and the African Charter on Human and Peoples’ Rights.</w:t>
      </w:r>
      <w:r/>
    </w:p>
    <w:p>
      <w:r/>
      <w:r>
        <w:t>That legal friction matters because African states have themselves ratified rights instruments that guarantee equality, bodily autonomy and children’s welfare. A new charter seeking to downgrade those standards would create legal confusion and open the door to prosecutions of activists and service‑providers.</w:t>
      </w:r>
      <w:r/>
    </w:p>
    <w:p>
      <w:r/>
      <w:r>
        <w:t>Practical legal note: advocates can point to existing treaty obligations in court and in public debate to show that proposed measures aren’t neutral cultural assertions but likely breaches of binding commitments.</w:t>
      </w:r>
      <w:r/>
    </w:p>
    <w:p>
      <w:pPr>
        <w:pStyle w:val="Heading2"/>
      </w:pPr>
      <w:r>
        <w:t>What citizens, lawmakers and regional bodies can do next</w:t>
      </w:r>
      <w:r/>
    </w:p>
    <w:p>
      <w:r/>
      <w:r>
        <w:t>Transparency and scrutiny are the most immediate tools. When conferences promote model bills, parliaments should table those drafts publicly and allow independent review. Regional institutions and national human rights commissions can call out conflicts with existing treaties and demand impact assessments before any legislative step.</w:t>
      </w:r>
      <w:r/>
    </w:p>
    <w:p>
      <w:r/>
      <w:r>
        <w:t>Civic actors should track who funds and attends these events, challenge manufactured consensus narratives, and collect evidence on real‑world harms to health and safety. Meanwhile, watchdogs can prepare legal challenges and run information campaigns to demystify supposed “family values” framing.</w:t>
      </w:r>
      <w:r/>
    </w:p>
    <w:p>
      <w:r/>
      <w:r>
        <w:t>Reaction: the rhetoric of sovereignty is powerful, but sovereignty doesn’t mean immunity from legal accountability. Lawmakers owe their citizens laws that protect rights, not strip them away.</w:t>
      </w:r>
      <w:r/>
    </w:p>
    <w:p>
      <w:r/>
      <w:r>
        <w:t>It's a small change in procedure , more scrutiny, less secrecy , that can make every draft law safer for everyone.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[4]</w:t>
        </w:r>
      </w:hyperlink>
      <w:r>
        <w:t xml:space="preserve">, </w:t>
      </w:r>
      <w:hyperlink r:id="rId11">
        <w:r>
          <w:rPr>
            <w:color w:val="0000EE"/>
            <w:u w:val="single"/>
          </w:rPr>
          <w:t>[3]</w:t>
        </w:r>
      </w:hyperlink>
      <w:r>
        <w:t xml:space="preserve">- Paragraph 2: </w:t>
      </w:r>
      <w:hyperlink r:id="rId12">
        <w:r>
          <w:rPr>
            <w:color w:val="0000EE"/>
            <w:u w:val="single"/>
          </w:rPr>
          <w:t>[6]</w:t>
        </w:r>
      </w:hyperlink>
      <w:r>
        <w:t xml:space="preserve">, </w:t>
      </w:r>
      <w:hyperlink r:id="rId11">
        <w:r>
          <w:rPr>
            <w:color w:val="0000EE"/>
            <w:u w:val="single"/>
          </w:rPr>
          <w:t>[3]</w:t>
        </w:r>
      </w:hyperlink>
      <w:r>
        <w:t xml:space="preserve">- Paragraph 3: </w:t>
      </w:r>
      <w:hyperlink r:id="rId10">
        <w:r>
          <w:rPr>
            <w:color w:val="0000EE"/>
            <w:u w:val="single"/>
          </w:rPr>
          <w:t>[4]</w:t>
        </w:r>
      </w:hyperlink>
      <w:r>
        <w:t xml:space="preserve">, </w:t>
      </w:r>
      <w:hyperlink r:id="rId13">
        <w:r>
          <w:rPr>
            <w:color w:val="0000EE"/>
            <w:u w:val="single"/>
          </w:rPr>
          <w:t>[5]</w:t>
        </w:r>
      </w:hyperlink>
      <w:r>
        <w:t xml:space="preserve">- Paragraph 4: </w:t>
      </w:r>
      <w:hyperlink r:id="rId13">
        <w:r>
          <w:rPr>
            <w:color w:val="0000EE"/>
            <w:u w:val="single"/>
          </w:rPr>
          <w:t>[5]</w:t>
        </w:r>
      </w:hyperlink>
      <w:r>
        <w:t xml:space="preserve">, </w:t>
      </w:r>
      <w:hyperlink r:id="rId14">
        <w:r>
          <w:rPr>
            <w:color w:val="0000EE"/>
            <w:u w:val="single"/>
          </w:rPr>
          <w:t>[2]</w:t>
        </w:r>
      </w:hyperlink>
      <w:r>
        <w:t xml:space="preserve">- Paragraph 5: </w:t>
      </w:r>
      <w:hyperlink r:id="rId12">
        <w:r>
          <w:rPr>
            <w:color w:val="0000EE"/>
            <w:u w:val="single"/>
          </w:rPr>
          <w:t>[6]</w:t>
        </w:r>
      </w:hyperlink>
      <w:r>
        <w:t xml:space="preserve">, </w:t>
      </w:r>
      <w:hyperlink r:id="rId14">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http://opiniojuris.org/2026/08/05/external-actors-pressing-family-values-in-africa-backing-outside-political-agendas-carries-a-human-rights-cost/</w:t>
        </w:r>
      </w:hyperlink>
      <w:r>
        <w:t xml:space="preserve"> - Please view link - unable to able to access data</w:t>
      </w:r>
      <w:r/>
    </w:p>
    <w:p>
      <w:pPr>
        <w:pStyle w:val="ListNumber"/>
        <w:spacing w:line="240" w:lineRule="auto"/>
        <w:ind w:left="720"/>
      </w:pPr>
      <w:r/>
      <w:hyperlink r:id="rId14">
        <w:r>
          <w:rPr>
            <w:color w:val="0000EE"/>
            <w:u w:val="single"/>
          </w:rPr>
          <w:t>https://africa.ippf.org/media-center/joint-statement-conclusion-4th-african-inter-parliamentary-conference-family</w:t>
        </w:r>
      </w:hyperlink>
      <w:r>
        <w:t xml:space="preserve"> - This joint statement, issued at the conclusion of the 4th African Inter-Parliamentary Conference on Family, Sovereignty and Values in Accra, Ghana, expresses concern over the increasing use of 'family values' and 'sovereignty' as political tools to justify exclusion and discrimination. The statement highlights coordinated efforts to roll back sexual and reproductive rights for women and girls, undercut civil and political rights, and restrict civic spaces. It also addresses the portrayal of LGBTQI+ individuals as societal threats, emphasizing the need to protect diverse family structures and human rights across the continent. (</w:t>
      </w:r>
      <w:hyperlink r:id="rId15">
        <w:r>
          <w:rPr>
            <w:color w:val="0000EE"/>
            <w:u w:val="single"/>
          </w:rPr>
          <w:t>africa.ippf.org</w:t>
        </w:r>
      </w:hyperlink>
      <w:r>
        <w:t>)</w:t>
      </w:r>
      <w:r/>
    </w:p>
    <w:p>
      <w:pPr>
        <w:pStyle w:val="ListNumber"/>
        <w:spacing w:line="240" w:lineRule="auto"/>
        <w:ind w:left="720"/>
      </w:pPr>
      <w:r/>
      <w:hyperlink r:id="rId11">
        <w:r>
          <w:rPr>
            <w:color w:val="0000EE"/>
            <w:u w:val="single"/>
          </w:rPr>
          <w:t>https://www.christiancouncilinternational.org/news/news/2025/uganda-3rd-inter-parliamentary-conference-on-family-and-values-2/</w:t>
        </w:r>
      </w:hyperlink>
      <w:r>
        <w:t xml:space="preserve"> - The 3rd Inter-Parliamentary Conference on Family and Values was held in Entebbe, Uganda, from May 9th to 11th, 2025. The conference brought together Members of Parliament, Speakers, and distinguished guests from across Africa to lay the groundwork for a Continental Charter on Family Values. The gathering was honoured by the presence of H.E. President Yoweri Kaguta Museveni and First Lady Mama Janet Museveni, who attended and addressed delegates on the opening day. With participation from over 20 African nations, the conference marked a significant milestone in the collective commitment to defending and promoting African family values and sovereignty. (</w:t>
      </w:r>
      <w:hyperlink r:id="rId16">
        <w:r>
          <w:rPr>
            <w:color w:val="0000EE"/>
            <w:u w:val="single"/>
          </w:rPr>
          <w:t>christiancouncilinternational.org</w:t>
        </w:r>
      </w:hyperlink>
      <w:r>
        <w:t>)</w:t>
      </w:r>
      <w:r/>
    </w:p>
    <w:p>
      <w:pPr>
        <w:pStyle w:val="ListNumber"/>
        <w:spacing w:line="240" w:lineRule="auto"/>
        <w:ind w:left="720"/>
      </w:pPr>
      <w:r/>
      <w:hyperlink r:id="rId10">
        <w:r>
          <w:rPr>
            <w:color w:val="0000EE"/>
            <w:u w:val="single"/>
          </w:rPr>
          <w:t>https://gna.org.gh/2026/06/african-mps-adopt-accra-declaration-to-protect-family-values-sovereignty/</w:t>
        </w:r>
      </w:hyperlink>
      <w:r>
        <w:t xml:space="preserve"> - Members of African Parliaments, leaders, and civil society groups have adopted a communiqué in Accra calling for stronger protection of the African family, national sovereignty, and cultural values against external pressures. The declaration came at the close of the 4th African Inter-Parliamentary Conference on Family, Sovereignty and Values held in Accra from Wednesday, June 3, to Friday, 5, 2026. The conference built on three previous conferences and advanced work toward an African Charter on Family, Sovereignty and Values. (</w:t>
      </w:r>
      <w:hyperlink r:id="rId17">
        <w:r>
          <w:rPr>
            <w:color w:val="0000EE"/>
            <w:u w:val="single"/>
          </w:rPr>
          <w:t>gna.org.gh</w:t>
        </w:r>
      </w:hyperlink>
      <w:r>
        <w:t>)</w:t>
      </w:r>
      <w:r/>
    </w:p>
    <w:p>
      <w:pPr>
        <w:pStyle w:val="ListNumber"/>
        <w:spacing w:line="240" w:lineRule="auto"/>
        <w:ind w:left="720"/>
      </w:pPr>
      <w:r/>
      <w:hyperlink r:id="rId13">
        <w:r>
          <w:rPr>
            <w:color w:val="0000EE"/>
            <w:u w:val="single"/>
          </w:rPr>
          <w:t>https://www.hrw.org/news/2026/03/30/written-memorandum-on-the-ghanaian-human-sexual-rights-and-family-values-bill</w:t>
        </w:r>
      </w:hyperlink>
      <w:r>
        <w:t xml:space="preserve"> - Human Rights Watch submitted a memorandum on the Human Sexual Rights and Family Values Act, 2025, currently under consideration in Ghana. The memorandum expresses serious concerns regarding the bill's compatibility with Ghana's binding obligations under international and regional human rights law. It highlights that the bill represents one of the most expansive legislative attacks on rights to come before the Parliament of Ghana, extending beyond the regulation of conduct to criminalise identity, stifle advocacy, dismantle important civil society structures, and compel citizens to surveil and denounce one another. (</w:t>
      </w:r>
      <w:hyperlink r:id="rId18">
        <w:r>
          <w:rPr>
            <w:color w:val="0000EE"/>
            <w:u w:val="single"/>
          </w:rPr>
          <w:t>hrw.org</w:t>
        </w:r>
      </w:hyperlink>
      <w:r>
        <w:t>)</w:t>
      </w:r>
      <w:r/>
    </w:p>
    <w:p>
      <w:pPr>
        <w:pStyle w:val="ListNumber"/>
        <w:spacing w:line="240" w:lineRule="auto"/>
        <w:ind w:left="720"/>
      </w:pPr>
      <w:r/>
      <w:hyperlink r:id="rId12">
        <w:r>
          <w:rPr>
            <w:color w:val="0000EE"/>
            <w:u w:val="single"/>
          </w:rPr>
          <w:t>https://www.africanhrc.org/single-post/the-inter-parliamentary-conference-on-family-values-in-ghana-is-a-colonial-coup</w:t>
        </w:r>
      </w:hyperlink>
      <w:r>
        <w:t xml:space="preserve"> - This article argues that the Inter-parliamentary Conference on Family Values in Ghana is a modern colonial coup against Africa’s own constitutional and human rights traditions. It asserts that the ideological engine, financing, and strategic direction behind the so-called 'Family Values' movement are not organically African but are driven by Western far-right Christian nationalist networks seeking to export their culture wars into Africa. The article contends that African leaders invoking 'sovereignty' are enabling foreign actors to weaponise legislation, religion, and fear to impose discriminatory frameworks that undermine Africa’s democratic credibility, constitutional order, and long history of pluralism and communal coexistence. (</w:t>
      </w:r>
      <w:hyperlink r:id="rId19">
        <w:r>
          <w:rPr>
            <w:color w:val="0000EE"/>
            <w:u w:val="single"/>
          </w:rPr>
          <w:t>africanhrc.org</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opiniojuris.org/2026/08/05/external-actors-pressing-family-values-in-africa-backing-outside-political-agendas-carries-a-human-rights-cost/" TargetMode="External"/><Relationship Id="rId10" Type="http://schemas.openxmlformats.org/officeDocument/2006/relationships/hyperlink" Target="https://gna.org.gh/2026/06/african-mps-adopt-accra-declaration-to-protect-family-values-sovereignty/" TargetMode="External"/><Relationship Id="rId11" Type="http://schemas.openxmlformats.org/officeDocument/2006/relationships/hyperlink" Target="https://www.christiancouncilinternational.org/news/news/2025/uganda-3rd-inter-parliamentary-conference-on-family-and-values-2/" TargetMode="External"/><Relationship Id="rId12" Type="http://schemas.openxmlformats.org/officeDocument/2006/relationships/hyperlink" Target="https://www.africanhrc.org/single-post/the-inter-parliamentary-conference-on-family-values-in-ghana-is-a-colonial-coup" TargetMode="External"/><Relationship Id="rId13" Type="http://schemas.openxmlformats.org/officeDocument/2006/relationships/hyperlink" Target="https://www.hrw.org/news/2026/03/30/written-memorandum-on-the-ghanaian-human-sexual-rights-and-family-values-bill" TargetMode="External"/><Relationship Id="rId14" Type="http://schemas.openxmlformats.org/officeDocument/2006/relationships/hyperlink" Target="https://africa.ippf.org/media-center/joint-statement-conclusion-4th-african-inter-parliamentary-conference-family" TargetMode="External"/><Relationship Id="rId15" Type="http://schemas.openxmlformats.org/officeDocument/2006/relationships/hyperlink" Target="https://africa.ippf.org/media-center/joint-statement-conclusion-4th-african-inter-parliamentary-conference-family?utm_source=openai" TargetMode="External"/><Relationship Id="rId16" Type="http://schemas.openxmlformats.org/officeDocument/2006/relationships/hyperlink" Target="https://www.christiancouncilinternational.org/news/news/2025/uganda-3rd-inter-parliamentary-conference-on-family-and-values-2/?utm_source=openai" TargetMode="External"/><Relationship Id="rId17" Type="http://schemas.openxmlformats.org/officeDocument/2006/relationships/hyperlink" Target="https://gna.org.gh/2026/06/african-mps-adopt-accra-declaration-to-protect-family-values-sovereignty/?utm_source=openai" TargetMode="External"/><Relationship Id="rId18" Type="http://schemas.openxmlformats.org/officeDocument/2006/relationships/hyperlink" Target="https://www.hrw.org/news/2026/03/30/written-memorandum-on-the-ghanaian-human-sexual-rights-and-family-values-bill?utm_source=openai" TargetMode="External"/><Relationship Id="rId19" Type="http://schemas.openxmlformats.org/officeDocument/2006/relationships/hyperlink" Target="https://www.africanhrc.org/single-post/the-inter-parliamentary-conference-on-family-values-in-ghana-is-a-colonial-coup?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