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EHRC’s New Services Code: What It Means for Single‑Sex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workers and service providers are adjusting to the EHRC’s updated Code of Practice on services, which takes effect this week; it says single‑sex services should be offered on the basis of biological sex and allows providers to ask for confirmation, a change with practical and privacy implications across the UK.</w:t>
      </w:r>
      <w:r/>
    </w:p>
    <w:p>
      <w:r/>
      <w:r>
        <w:t>Essential Takeaways</w:t>
      </w:r>
      <w:r/>
      <w:r/>
    </w:p>
    <w:p>
      <w:pPr>
        <w:pStyle w:val="ListBullet"/>
        <w:spacing w:line="240" w:lineRule="auto"/>
        <w:ind w:left="720"/>
      </w:pPr>
      <w:r/>
      <w:r>
        <w:rPr>
          <w:b/>
        </w:rPr>
        <w:t>Effective date:</w:t>
      </w:r>
      <w:r>
        <w:t xml:space="preserve"> The revised EHRC Code for services comes into force on 5 August 2026 and applies to providers of single‑sex services and facilities. </w:t>
      </w:r>
      <w:r/>
    </w:p>
    <w:p>
      <w:pPr>
        <w:pStyle w:val="ListBullet"/>
        <w:spacing w:line="240" w:lineRule="auto"/>
        <w:ind w:left="720"/>
      </w:pPr>
      <w:r/>
      <w:r>
        <w:rPr>
          <w:b/>
        </w:rPr>
        <w:t>Basis of provision:</w:t>
      </w:r>
      <w:r>
        <w:t xml:space="preserve"> The Code instructs that single‑sex services are to be offered on the basis of biological sex as understood under the Equality Act framework. </w:t>
      </w:r>
      <w:r/>
    </w:p>
    <w:p>
      <w:pPr>
        <w:pStyle w:val="ListBullet"/>
        <w:spacing w:line="240" w:lineRule="auto"/>
        <w:ind w:left="720"/>
      </w:pPr>
      <w:r/>
      <w:r>
        <w:rPr>
          <w:b/>
        </w:rPr>
        <w:t>Verification allowed:</w:t>
      </w:r>
      <w:r>
        <w:t xml:space="preserve"> Providers may ask a person to confirm their sex; there’s no centralised, immediately usable document that proves “biological sex.” </w:t>
      </w:r>
      <w:r/>
    </w:p>
    <w:p>
      <w:pPr>
        <w:pStyle w:val="ListBullet"/>
        <w:spacing w:line="240" w:lineRule="auto"/>
        <w:ind w:left="720"/>
      </w:pPr>
      <w:r/>
      <w:r>
        <w:rPr>
          <w:b/>
        </w:rPr>
        <w:t>Practical challenge:</w:t>
      </w:r>
      <w:r>
        <w:t xml:space="preserve"> The Code creates a decision point at the doorway , a notice that now carries legal weight , which raises privacy and enforcement questions. </w:t>
      </w:r>
      <w:r/>
    </w:p>
    <w:p>
      <w:pPr>
        <w:pStyle w:val="ListBullet"/>
        <w:spacing w:line="240" w:lineRule="auto"/>
        <w:ind w:left="720"/>
      </w:pPr>
      <w:r/>
      <w:r>
        <w:rPr>
          <w:b/>
        </w:rPr>
        <w:t>Parliamentary gap:</w:t>
      </w:r>
      <w:r>
        <w:t xml:space="preserve"> Lawyers and campaigners note that only primary legislation can definitively settle how sex and gender should be treated in law and practice.</w:t>
      </w:r>
      <w:r/>
      <w:r/>
    </w:p>
    <w:p>
      <w:r/>
      <w:r>
        <w:t xml:space="preserve">Opening hook: what changed and why it feels different The EHRC’s updated Code of Practice for services landed with a thud because it turns ordinary signage into a practical testing point for identity, rather than merely guiding what facilities should exist. According to legal briefings and the regulator’s materials, the Code takes effect on 5 August 2026 and aims to clarify how providers should apply the Equality Act to single‑sex services and spaces. That sounds tidy on paper, but it creates a moment at the doorway where a provider must decide who fits the stated sex‑based service , and that’s where the trouble starts. </w:t>
      </w:r>
      <w:hyperlink r:id="rId9">
        <w:r>
          <w:rPr>
            <w:color w:val="0000EE"/>
            <w:u w:val="single"/>
          </w:rPr>
          <w:t>[2]</w:t>
        </w:r>
      </w:hyperlink>
      <w:r>
        <w:t xml:space="preserve">, </w:t>
      </w:r>
      <w:hyperlink r:id="rId10">
        <w:r>
          <w:rPr>
            <w:color w:val="0000EE"/>
            <w:u w:val="single"/>
          </w:rPr>
          <w:t>[7]</w:t>
        </w:r>
      </w:hyperlink>
      <w:r/>
    </w:p>
    <w:p>
      <w:r/>
      <w:r>
        <w:t xml:space="preserve">Backstory: law, courts and the regulator did their jobs , but Parliament didn’t This isn’t simply a fresh bureaucratic preference. The Supreme Court’s interpretation of the Equality Act, subsequent legal commentary and the EHRC’s duty to publish statutory guidance have combined to produce this Code. Dentons and other legal firms summarise that the Code reflects those rulings and aims to give providers clear steps to comply. Yet the bigger issue is political: without Parliament setting out, in statute, how sex and gender recognition should operate in everyday situations, regulators and courts have had to make consequential decisions by interpretation alone. That gap is why the Code feels provisional rather than final. </w:t>
      </w:r>
      <w:hyperlink r:id="rId9">
        <w:r>
          <w:rPr>
            <w:color w:val="0000EE"/>
            <w:u w:val="single"/>
          </w:rPr>
          <w:t>[2]</w:t>
        </w:r>
      </w:hyperlink>
      <w:r>
        <w:t xml:space="preserve">, </w:t>
      </w:r>
      <w:hyperlink r:id="rId11">
        <w:r>
          <w:rPr>
            <w:color w:val="0000EE"/>
            <w:u w:val="single"/>
          </w:rPr>
          <w:t>[4]</w:t>
        </w:r>
      </w:hyperlink>
      <w:r/>
    </w:p>
    <w:p>
      <w:r/>
      <w:r>
        <w:t xml:space="preserve">What “ask for confirmation” really means in practice The Code says providers may ask someone to confirm their sex before offering a single‑sex service. On the ground, that could mean staff politely asking a person to state whether they are male or female, or requesting documentary evidence. But unlike some legal facts , for instance, age on a passport , there’s no single document in wide circulation that cleanly maps to the Code’s definition of “biological sex.” Legal guidance and firm briefings explain that passports and driving licences record a sex marker, but they are not designed to settle this new, specific question at the threshold. The consequence: staff may need to take people at their word, make subjective judgments based on appearance, or ask for documents they have no legal power to require , all unsatisfactory outcomes. </w:t>
      </w:r>
      <w:hyperlink r:id="rId12">
        <w:r>
          <w:rPr>
            <w:color w:val="0000EE"/>
            <w:u w:val="single"/>
          </w:rPr>
          <w:t>[6]</w:t>
        </w:r>
      </w:hyperlink>
      <w:r>
        <w:t xml:space="preserve">, </w:t>
      </w:r>
      <w:hyperlink r:id="rId13">
        <w:r>
          <w:rPr>
            <w:color w:val="0000EE"/>
            <w:u w:val="single"/>
          </w:rPr>
          <w:t>[3]</w:t>
        </w:r>
      </w:hyperlink>
      <w:r/>
    </w:p>
    <w:p>
      <w:r/>
      <w:r>
        <w:t xml:space="preserve">Privacy and dignity: why many are uneasy Asking people to confirm sex at a doorway has obvious privacy implications. Victim‑support and civil liberties groups warn that placing staff in the role of gatekeeper risks embarrassment, confrontation and a chilling effect on vulnerable people accessing services. The new Code’s practical guidance tries to reduce confrontation by suggesting proportionate, dignity‑preserving approaches, but legal commentaries say only clearer statutory rules or a bespoke verification route could properly balance privacy and safety. For employers and venue managers, the message is to train staff in calm, non‑discriminatory engagement and to offer alternatives where appropriate. </w:t>
      </w:r>
      <w:hyperlink r:id="rId10">
        <w:r>
          <w:rPr>
            <w:color w:val="0000EE"/>
            <w:u w:val="single"/>
          </w:rPr>
          <w:t>[7]</w:t>
        </w:r>
      </w:hyperlink>
      <w:r>
        <w:t xml:space="preserve">, </w:t>
      </w:r>
      <w:hyperlink r:id="rId12">
        <w:r>
          <w:rPr>
            <w:color w:val="0000EE"/>
            <w:u w:val="single"/>
          </w:rPr>
          <w:t>[6]</w:t>
        </w:r>
      </w:hyperlink>
      <w:r/>
    </w:p>
    <w:p>
      <w:r/>
      <w:r>
        <w:t xml:space="preserve">What providers should do now: a short checklist Providers don’t have to invent policies from scratch, but they should act fast. Legal notes advise reviewing existing single‑sex service policies against the Code, training front‑line staff on how to ask and respond, and documenting reasonable adjustments for safety and privacy. Where feasible, offering single‑occupancy or gender‑neutral options removes the need for an intrusive decision at the door. Firms and charities also often find it useful to take legal advice to tailor policies to their sector and risk profile. </w:t>
      </w:r>
      <w:hyperlink r:id="rId9">
        <w:r>
          <w:rPr>
            <w:color w:val="0000EE"/>
            <w:u w:val="single"/>
          </w:rPr>
          <w:t>[2]</w:t>
        </w:r>
      </w:hyperlink>
      <w:r>
        <w:t xml:space="preserve">, </w:t>
      </w:r>
      <w:hyperlink r:id="rId12">
        <w:r>
          <w:rPr>
            <w:color w:val="0000EE"/>
            <w:u w:val="single"/>
          </w:rPr>
          <w:t>[6]</w:t>
        </w:r>
      </w:hyperlink>
      <w:r/>
    </w:p>
    <w:p>
      <w:r/>
      <w:r>
        <w:t xml:space="preserve">Where the conversation still needs to go: legislation and recognition Many commentators, including policy projects and legal analysts, argue that this debate will only end with Parliament. Proposals put forward by civic groups suggest statutory recognition mechanisms, a limited exceptions list for some services, privacy duties and routes for non‑binary recognition. Those are complex political choices that courts and regulators can’t impose. So expect continued debate in Westminster about whether the Code is a stopgap or a stepping stone to a clearer legislative settlement. Meanwhile, practical guidance from the EHRC is the rulebook that organisations must follow. </w:t>
      </w:r>
      <w:hyperlink r:id="rId11">
        <w:r>
          <w:rPr>
            <w:color w:val="0000EE"/>
            <w:u w:val="single"/>
          </w:rPr>
          <w:t>[4]</w:t>
        </w:r>
      </w:hyperlink>
      <w:r>
        <w:t xml:space="preserve">, </w:t>
      </w:r>
      <w:hyperlink r:id="rId14">
        <w:r>
          <w:rPr>
            <w:color w:val="0000EE"/>
            <w:u w:val="single"/>
          </w:rPr>
          <w:t>[5]</w:t>
        </w:r>
      </w:hyperlink>
      <w:r/>
    </w:p>
    <w:p>
      <w:r/>
      <w:r>
        <w:t>Final reaction: simple steps, big consequences This Code matters because it moves a legal question into everyday interactions. It’s a tweak on paper that changes how people are treated at doors, in toilets and in changing rooms. For now, providers should focus on clarity, staff training and keeping dignity at the heart of any response.</w:t>
      </w:r>
      <w:r/>
    </w:p>
    <w:p>
      <w:r/>
      <w:r>
        <w:t>It's a small change with outsized consequences , think practically, act kindly, and watch for parliamentary fixes.</w:t>
      </w:r>
      <w:r/>
    </w:p>
    <w:p>
      <w:pPr>
        <w:pStyle w:val="Heading3"/>
      </w:pPr>
      <w:r>
        <w:t>Source Reference Map</w:t>
      </w:r>
      <w:r/>
    </w:p>
    <w:p>
      <w:r/>
      <w:r>
        <w:rPr>
          <w:b/>
        </w:rPr>
        <w:t>Story idea inspired by:</w:t>
      </w:r>
      <w:r>
        <w:t xml:space="preserve"> </w:t>
      </w:r>
      <w:hyperlink r:id="rId15">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11">
        <w:r>
          <w:rPr>
            <w:color w:val="0000EE"/>
            <w:u w:val="single"/>
          </w:rPr>
          <w:t>[4]</w:t>
        </w:r>
      </w:hyperlink>
      <w:r>
        <w:t xml:space="preserve">, </w:t>
      </w:r>
      <w:hyperlink r:id="rId9">
        <w:r>
          <w:rPr>
            <w:color w:val="0000EE"/>
            <w:u w:val="single"/>
          </w:rPr>
          <w:t>[2]</w:t>
        </w:r>
      </w:hyperlink>
      <w:r>
        <w:t xml:space="preserve">- Paragraph 3: </w:t>
      </w:r>
      <w:hyperlink r:id="rId12">
        <w:r>
          <w:rPr>
            <w:color w:val="0000EE"/>
            <w:u w:val="single"/>
          </w:rPr>
          <w:t>[6]</w:t>
        </w:r>
      </w:hyperlink>
      <w:r>
        <w:t xml:space="preserve">, </w:t>
      </w:r>
      <w:hyperlink r:id="rId13">
        <w:r>
          <w:rPr>
            <w:color w:val="0000EE"/>
            <w:u w:val="single"/>
          </w:rPr>
          <w:t>[3]</w:t>
        </w:r>
      </w:hyperlink>
      <w:r>
        <w:t xml:space="preserve">- Paragraph 4: </w:t>
      </w:r>
      <w:hyperlink r:id="rId10">
        <w:r>
          <w:rPr>
            <w:color w:val="0000EE"/>
            <w:u w:val="single"/>
          </w:rPr>
          <w:t>[7]</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11">
        <w:r>
          <w:rPr>
            <w:color w:val="0000EE"/>
            <w:u w:val="single"/>
          </w:rPr>
          <w:t>[4]</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15">
        <w:r>
          <w:rPr>
            <w:color w:val="0000EE"/>
            <w:u w:val="single"/>
          </w:rPr>
          <w:t>https://www.libdemvoice.org/the-law-has-never-told-you-which-door-to-use-80205.html</w:t>
        </w:r>
      </w:hyperlink>
      <w:r>
        <w:t xml:space="preserve"> - Please view link - unable to able to access data</w:t>
      </w:r>
      <w:r/>
    </w:p>
    <w:p>
      <w:pPr>
        <w:pStyle w:val="ListNumber"/>
        <w:spacing w:line="240" w:lineRule="auto"/>
        <w:ind w:left="720"/>
      </w:pPr>
      <w:r/>
      <w:hyperlink r:id="rId9">
        <w:r>
          <w:rPr>
            <w:color w:val="0000EE"/>
            <w:u w:val="single"/>
          </w:rPr>
          <w:t>https://www.dentons.com/en/insights/articles/2026/july/28/updated-ehrc-services-code-of-practice-to-take-effect-on-5-august-2026</w:t>
        </w:r>
      </w:hyperlink>
      <w:r>
        <w:t xml:space="preserve"> - Dentons reports that the updated Equality and Human Rights Commission (EHRC) Code of Practice for services, public functions, and associations will come into effect on 5 August 2026. The revised Code reflects the UK Supreme Court's April 2025 ruling that 'sex' in the Equality Act 2010 refers to biological sex at birth. Key updates include clarifications on gender reassignment, single-sex services, and the justification for such services, emphasizing factors like safety, privacy, and dignity.</w:t>
      </w:r>
      <w:r/>
    </w:p>
    <w:p>
      <w:pPr>
        <w:pStyle w:val="ListNumber"/>
        <w:spacing w:line="240" w:lineRule="auto"/>
        <w:ind w:left="720"/>
      </w:pPr>
      <w:r/>
      <w:hyperlink r:id="rId13">
        <w:r>
          <w:rPr>
            <w:color w:val="0000EE"/>
            <w:u w:val="single"/>
          </w:rPr>
          <w:t>https://www.howespercival.com/articles/ehrc-publishes-revised-guidance-for-services-on-single-sex-spaces/</w:t>
        </w:r>
      </w:hyperlink>
      <w:r>
        <w:t xml:space="preserve"> - Howes Percival discusses the EHRC's revised guidance on single-sex spaces, published on 22 June 2026. The updated Code of Practice aligns with the Supreme Court's decision in For Women Scotland, confirming that 'sex' under the Equality Act 2010 means biological sex. It states that admitting trans people to services intended for the opposite sex may not qualify as single-sex services and could amount to sex discrimination.</w:t>
      </w:r>
      <w:r/>
    </w:p>
    <w:p>
      <w:pPr>
        <w:pStyle w:val="ListNumber"/>
        <w:spacing w:line="240" w:lineRule="auto"/>
        <w:ind w:left="720"/>
      </w:pPr>
      <w:r/>
      <w:hyperlink r:id="rId11">
        <w:r>
          <w:rPr>
            <w:color w:val="0000EE"/>
            <w:u w:val="single"/>
          </w:rPr>
          <w:t>https://www.hilldickinson.com/our-view/articles/ehrcs-updated-statutory-code-of-practice-laid-before-parliament/</w:t>
        </w:r>
      </w:hyperlink>
      <w:r>
        <w:t xml:space="preserve"> - Hill Dickinson outlines the EHRC's updated statutory Code of Practice, laid before Parliament on 22 May 2026. The Code clarifies that 'sex', 'man', and 'woman' refer to biological sex at birth. It also confirms that holding a Gender Recognition Certificate does not change a person's legal sex under the Equality Act 2010. The guidance provides stronger directives on single-sex services and access, requiring providers to justify exclusions and ensure lawful, proportionate service arrangements.</w:t>
      </w:r>
      <w:r/>
    </w:p>
    <w:p>
      <w:pPr>
        <w:pStyle w:val="ListNumber"/>
        <w:spacing w:line="240" w:lineRule="auto"/>
        <w:ind w:left="720"/>
      </w:pPr>
      <w:r/>
      <w:hyperlink r:id="rId14">
        <w:r>
          <w:rPr>
            <w:color w:val="0000EE"/>
            <w:u w:val="single"/>
          </w:rPr>
          <w:t>https://www.christian.org.uk/news/single-sex-spaces-must-be-single-sex-govt-insists-in-finalised-ehrc-code-of-practice/</w:t>
        </w:r>
      </w:hyperlink>
      <w:r>
        <w:t xml:space="preserve"> - The Christian Institute reports on the finalised EHRC Code of Practice, approved by the Government on 22 May 2026. The guidance mandates that single-sex spaces and services must be restricted to individuals of the appropriate biological sex, aligning with the Supreme Court's ruling that 'sex' in the Equality Act 2010 refers to biological sex. The Code emphasizes that admitting individuals to facilities designated for the opposite sex could constitute sex discrimination.</w:t>
      </w:r>
      <w:r/>
    </w:p>
    <w:p>
      <w:pPr>
        <w:pStyle w:val="ListNumber"/>
        <w:spacing w:line="240" w:lineRule="auto"/>
        <w:ind w:left="720"/>
      </w:pPr>
      <w:r/>
      <w:hyperlink r:id="rId12">
        <w:r>
          <w:rPr>
            <w:color w:val="0000EE"/>
            <w:u w:val="single"/>
          </w:rPr>
          <w:t>https://www.freeths.co.uk/insights-events/legal-articles/2026/the-new-ehrc-code-of-practice-what-it-means-for-single-sex-services-and-facilities/</w:t>
        </w:r>
      </w:hyperlink>
      <w:r>
        <w:t xml:space="preserve"> - Freeths examines the implications of the new EHRC Code of Practice for single-sex services and facilities, published on 28 June 2026. The Code, which is set to come into force on 5 August 2026, reflects the Supreme Court's decision in For Women Scotland v Scottish Ministers, confirming that 'sex' in the Equality Act 2010 refers to biological sex. It advises that service providers may lawfully restrict access to single-sex services based on biological sex, provided it is a proportionate means of achieving a legitimate aim.</w:t>
      </w:r>
      <w:r/>
    </w:p>
    <w:p>
      <w:pPr>
        <w:pStyle w:val="ListNumber"/>
        <w:spacing w:line="240" w:lineRule="auto"/>
        <w:ind w:left="720"/>
      </w:pPr>
      <w:r/>
      <w:hyperlink r:id="rId10">
        <w:r>
          <w:rPr>
            <w:color w:val="0000EE"/>
            <w:u w:val="single"/>
          </w:rPr>
          <w:t>https://www.equalityhumanrights.com/guidance/codes-practice/code-practice-services-public-functions-and-associations</w:t>
        </w:r>
      </w:hyperlink>
      <w:r>
        <w:t xml:space="preserve"> - The Equality and Human Rights Commission (EHRC) provides the official Code of Practice for services, public functions, and associations. The Code clarifies that it is legitimate to collect data about sex from service users for purposes such as equality monitoring or service planning. It also explains that there may be legitimate reasons for service providers to ask individuals to confirm their sex to ensure lawful single or separate-sex provision of a service.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ntons.com/en/insights/articles/2026/july/28/updated-ehrc-services-code-of-practice-to-take-effect-on-5-august-2026" TargetMode="External"/><Relationship Id="rId10" Type="http://schemas.openxmlformats.org/officeDocument/2006/relationships/hyperlink" Target="https://www.equalityhumanrights.com/guidance/codes-practice/code-practice-services-public-functions-and-associations" TargetMode="External"/><Relationship Id="rId11" Type="http://schemas.openxmlformats.org/officeDocument/2006/relationships/hyperlink" Target="https://www.hilldickinson.com/our-view/articles/ehrcs-updated-statutory-code-of-practice-laid-before-parliament/" TargetMode="External"/><Relationship Id="rId12" Type="http://schemas.openxmlformats.org/officeDocument/2006/relationships/hyperlink" Target="https://www.freeths.co.uk/insights-events/legal-articles/2026/the-new-ehrc-code-of-practice-what-it-means-for-single-sex-services-and-facilities/" TargetMode="External"/><Relationship Id="rId13" Type="http://schemas.openxmlformats.org/officeDocument/2006/relationships/hyperlink" Target="https://www.howespercival.com/articles/ehrc-publishes-revised-guidance-for-services-on-single-sex-spaces/" TargetMode="External"/><Relationship Id="rId14" Type="http://schemas.openxmlformats.org/officeDocument/2006/relationships/hyperlink" Target="https://www.christian.org.uk/news/single-sex-spaces-must-be-single-sex-govt-insists-in-finalised-ehrc-code-of-practice/" TargetMode="External"/><Relationship Id="rId15" Type="http://schemas.openxmlformats.org/officeDocument/2006/relationships/hyperlink" Target="https://www.libdemvoice.org/the-law-has-never-told-you-which-door-to-use-8020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