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Nursing Practices for LGBT Cancer Care: What Taiwanese Survey Reveals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evidence , or, rather, nurses are waking up to it: a Taiwanese survey of 608 nurses maps what helps and hinders culturally competent cancer care for LGBT individuals, why experience alone isn’t enough, and what training and workplace change actually make a difference.</w:t>
      </w:r>
      <w:r/>
    </w:p>
    <w:p>
      <w:r/>
      <w:r>
        <w:t>Essential Takeaways</w:t>
      </w:r>
      <w:r/>
      <w:r/>
    </w:p>
    <w:p>
      <w:pPr>
        <w:pStyle w:val="ListBullet"/>
        <w:spacing w:line="240" w:lineRule="auto"/>
        <w:ind w:left="720"/>
      </w:pPr>
      <w:r/>
      <w:r>
        <w:rPr>
          <w:b/>
        </w:rPr>
        <w:t>Half‑way experience:</w:t>
      </w:r>
      <w:r>
        <w:t xml:space="preserve"> About 50% of surveyed nurses had never provided care to LGBT individuals with cancer, even though most had interacted with LGBT people in other contexts. </w:t>
      </w:r>
      <w:r/>
    </w:p>
    <w:p>
      <w:pPr>
        <w:pStyle w:val="ListBullet"/>
        <w:spacing w:line="240" w:lineRule="auto"/>
        <w:ind w:left="720"/>
      </w:pPr>
      <w:r/>
      <w:r>
        <w:rPr>
          <w:b/>
        </w:rPr>
        <w:t>Knowledge matters:</w:t>
      </w:r>
      <w:r>
        <w:t xml:space="preserve"> Higher cancer care knowledge and transgender‑specific knowledge were linked to more affirmative care behaviours , nurses said sexual and gender diversity, inclusive care and mental‑health support are top knowledge needs. </w:t>
      </w:r>
      <w:r/>
    </w:p>
    <w:p>
      <w:pPr>
        <w:pStyle w:val="ListBullet"/>
        <w:spacing w:line="240" w:lineRule="auto"/>
        <w:ind w:left="720"/>
      </w:pPr>
      <w:r/>
      <w:r>
        <w:rPr>
          <w:b/>
        </w:rPr>
        <w:t>Skills make practice possible:</w:t>
      </w:r>
      <w:r>
        <w:t xml:space="preserve"> Communication, trust‑building and tailored clinical assessment skills were the most requested practical training, and skills scores correlated with actual care experience. </w:t>
      </w:r>
      <w:r/>
    </w:p>
    <w:p>
      <w:pPr>
        <w:pStyle w:val="ListBullet"/>
        <w:spacing w:line="240" w:lineRule="auto"/>
        <w:ind w:left="720"/>
      </w:pPr>
      <w:r/>
      <w:r>
        <w:rPr>
          <w:b/>
        </w:rPr>
        <w:t>Compassion is a double‑edged sword:</w:t>
      </w:r>
      <w:r>
        <w:t xml:space="preserve"> Greater compassion satisfaction related to more affirmative behaviours, but higher stress also accompanied more LGBT care experience, suggesting emotional cost without organisational support. </w:t>
      </w:r>
      <w:r/>
    </w:p>
    <w:p>
      <w:pPr>
        <w:pStyle w:val="ListBullet"/>
        <w:spacing w:line="240" w:lineRule="auto"/>
        <w:ind w:left="720"/>
      </w:pPr>
      <w:r/>
      <w:r>
        <w:rPr>
          <w:b/>
        </w:rPr>
        <w:t>Structural gaps persist:</w:t>
      </w:r>
      <w:r>
        <w:t xml:space="preserve"> Time pressures, staffing shortages and a lack of clear policies or visible inclusivity signals limit nurses’ ability to act on their knowledge and beliefs.</w:t>
      </w:r>
      <w:r/>
      <w:r/>
    </w:p>
    <w:p>
      <w:pPr>
        <w:pStyle w:val="Heading2"/>
      </w:pPr>
      <w:r>
        <w:t>Nurses’ experience with LGBT cancer patients: less common than you’d think</w:t>
      </w:r>
      <w:r/>
    </w:p>
    <w:p>
      <w:r/>
      <w:r>
        <w:t>Nearly half of the 608 Taiwanese nurses said they’d never cared for an LGBT person with cancer, which is surprising given the growing visibility of LGBT people since same‑sex marriage was legalised in 2019. The study found older nurses, those who identified as non‑heterosexual, and those with longer service were more likely to report experience , but experience didn’t necessarily translate into affirmative practice. That’s a useful reminder: seeing someone in clinic doesn’t mean you know how to meet their specific needs, and healthcare encounters still depend heavily on training and workplace culture.</w:t>
      </w:r>
      <w:r/>
    </w:p>
    <w:p>
      <w:pPr>
        <w:pStyle w:val="Heading2"/>
      </w:pPr>
      <w:r>
        <w:t>Knowledge and attitudes: the foundation for affirmative care</w:t>
      </w:r>
      <w:r/>
    </w:p>
    <w:p>
      <w:r/>
      <w:r>
        <w:t>Cancer care knowledge, especially about transgender health, and positive beliefs about LGBT care were positively associated with affirmative behaviours. Nurses rated sexual and gender diversity, inclusive cancer care and mental‑health support as top areas where they’d like more information. So if you’re designing training, start with basics plus transgender‑specific modules, and make sure programmes link knowledge to real clinical examples , that’s what shifts attitudes into practice.</w:t>
      </w:r>
      <w:r/>
    </w:p>
    <w:p>
      <w:pPr>
        <w:pStyle w:val="Heading2"/>
      </w:pPr>
      <w:r>
        <w:t>Practical skills that actually change behaviour</w:t>
      </w:r>
      <w:r/>
    </w:p>
    <w:p>
      <w:r/>
      <w:r>
        <w:t>Scores on skills‑related competency scales predicted whether nurses had cared for LGBT patients. Communication techniques, trust‑building and individualised assessment came top in open responses. That’s neat and obvious: you can’t be inclusive if you don’t know how to ask about partners or pronouns sensitively, how to include non‑traditional caregivers in conversations, or how to flag social‑support needs. Hospitals should prioritise short, scenario‑based workshops and role play that nurses can fit into shift patterns.</w:t>
      </w:r>
      <w:r/>
    </w:p>
    <w:p>
      <w:pPr>
        <w:pStyle w:val="Heading2"/>
      </w:pPr>
      <w:r>
        <w:t>Compassion satisfaction helps , but stress piles up</w:t>
      </w:r>
      <w:r/>
    </w:p>
    <w:p>
      <w:r/>
      <w:r>
        <w:t>Nurses with higher compassion satisfaction were more likely to deliver affirmative care, which suggests that finding meaning in work supports inclusion. Yet those same nurses also reported more stress, and many pointed to staffing, time and policy gaps that make culturally competent care emotionally costly. The takeaway for managers: training alone won’t fix this. You need clear policies, protected time, visible inclusivity signals and psychological support to avoid compassion fatigue eroding good intentions.</w:t>
      </w:r>
      <w:r/>
    </w:p>
    <w:p>
      <w:pPr>
        <w:pStyle w:val="Heading2"/>
      </w:pPr>
      <w:r>
        <w:t>Structures and signals matter: environment, policy and visibility</w:t>
      </w:r>
      <w:r/>
    </w:p>
    <w:p>
      <w:r/>
      <w:r>
        <w:t>Beyond individual skills, nurses asked for an LGBT‑inclusive and safe care environment, comfortable spaces that reduce stress, and visible signals of affirmation. The study highlights how organisational factors , from the availability of training to colleagues’ attitudes and local policies , shape day‑to‑day practice. If a ward lacks guidance on documenting gender identity or hospitals don’t have policies on decision‑making for patients without legal next of kin, nurses face ethical and practical dilemmas that deter affirmative care.</w:t>
      </w:r>
      <w:r/>
    </w:p>
    <w:p>
      <w:pPr>
        <w:pStyle w:val="Heading2"/>
      </w:pPr>
      <w:r>
        <w:t>What managers, educators and clinicians can do tomorrow</w:t>
      </w:r>
      <w:r/>
      <w:r/>
    </w:p>
    <w:p>
      <w:pPr>
        <w:pStyle w:val="ListBullet"/>
        <w:spacing w:line="240" w:lineRule="auto"/>
        <w:ind w:left="720"/>
      </w:pPr>
      <w:r/>
      <w:r>
        <w:t xml:space="preserve">Offer bite‑size, case‑based training on sexual and gender diversity and transgender‑specific cancer care. </w:t>
      </w:r>
      <w:r/>
    </w:p>
    <w:p>
      <w:pPr>
        <w:pStyle w:val="ListBullet"/>
        <w:spacing w:line="240" w:lineRule="auto"/>
        <w:ind w:left="720"/>
      </w:pPr>
      <w:r/>
      <w:r>
        <w:t xml:space="preserve">Build communication and trust‑building exercises into shift training so skills are practised, not just lectured. </w:t>
      </w:r>
      <w:r/>
    </w:p>
    <w:p>
      <w:pPr>
        <w:pStyle w:val="ListBullet"/>
        <w:spacing w:line="240" w:lineRule="auto"/>
        <w:ind w:left="720"/>
      </w:pPr>
      <w:r/>
      <w:r>
        <w:t xml:space="preserve">Create visible inclusivity cues , posters, patient forms that ask about pronouns and partners, and clear guidance on privacy and consent. </w:t>
      </w:r>
      <w:r/>
    </w:p>
    <w:p>
      <w:pPr>
        <w:pStyle w:val="ListBullet"/>
        <w:spacing w:line="240" w:lineRule="auto"/>
        <w:ind w:left="720"/>
      </w:pPr>
      <w:r/>
      <w:r>
        <w:t xml:space="preserve">Provide staff support: debriefs, access to legal or ethics advice, and resources to manage stressful scenarios. </w:t>
      </w:r>
      <w:r/>
    </w:p>
    <w:p>
      <w:pPr>
        <w:pStyle w:val="ListBullet"/>
        <w:spacing w:line="240" w:lineRule="auto"/>
        <w:ind w:left="720"/>
      </w:pPr>
      <w:r/>
      <w:r>
        <w:t>Measure impact: track whether training changes behaviour, not just attitudes, and survey staff stress and compassion satisfaction over time.</w:t>
      </w:r>
      <w:r/>
      <w:r/>
    </w:p>
    <w:p>
      <w:r/>
      <w:r>
        <w:t>It’s tempting to assume that experience alone breeds competence, but this survey shows experience without education, structural support and attention to staff wellbeing can produce mixed results. Fix those layers and nurses will be better placed to turn goodwill into truly culturally competent cancer care.</w:t>
      </w:r>
      <w:r/>
    </w:p>
    <w:p>
      <w:r/>
      <w:r>
        <w:t>It's a small shift in training and policy that can make each hospital encounter safer, kinder and more effective for LGBT people with cancer.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1">
        <w:r>
          <w:rPr>
            <w:color w:val="0000EE"/>
            <w:u w:val="single"/>
          </w:rPr>
          <w:t>[7]</w:t>
        </w:r>
      </w:hyperlink>
      <w:r>
        <w:t xml:space="preserve">- Paragraph 3: </w:t>
      </w:r>
      <w:hyperlink r:id="rId11">
        <w:r>
          <w:rPr>
            <w:color w:val="0000EE"/>
            <w:u w:val="single"/>
          </w:rPr>
          <w:t>[7]</w:t>
        </w:r>
      </w:hyperlink>
      <w:r>
        <w:t xml:space="preserve">, </w:t>
      </w:r>
      <w:hyperlink r:id="rId13">
        <w:r>
          <w:rPr>
            <w:color w:val="0000EE"/>
            <w:u w:val="single"/>
          </w:rPr>
          <w:t>[5]</w:t>
        </w:r>
      </w:hyperlink>
      <w:r>
        <w:t xml:space="preserve">- Paragraph 4: </w:t>
      </w:r>
      <w:hyperlink r:id="rId11">
        <w:r>
          <w:rPr>
            <w:color w:val="0000EE"/>
            <w:u w:val="single"/>
          </w:rPr>
          <w:t>[7]</w:t>
        </w:r>
      </w:hyperlink>
      <w:r>
        <w:t xml:space="preserve">, </w:t>
      </w:r>
      <w:hyperlink r:id="rId14">
        <w:r>
          <w:rPr>
            <w:color w:val="0000EE"/>
            <w:u w:val="single"/>
          </w:rPr>
          <w:t>[6]</w:t>
        </w:r>
      </w:hyperlink>
      <w:r>
        <w:t xml:space="preserve">- Paragraph 5: </w:t>
      </w:r>
      <w:hyperlink r:id="rId15">
        <w:r>
          <w:rPr>
            <w:color w:val="0000EE"/>
            <w:u w:val="single"/>
          </w:rPr>
          <w:t>[3]</w:t>
        </w:r>
      </w:hyperlink>
      <w:r>
        <w:t xml:space="preserve">, </w:t>
      </w:r>
      <w:hyperlink r:id="rId11">
        <w:r>
          <w:rPr>
            <w:color w:val="0000EE"/>
            <w:u w:val="single"/>
          </w:rPr>
          <w:t>[7]</w:t>
        </w:r>
      </w:hyperlink>
      <w:r>
        <w:t xml:space="preserve">- Paragraph 6: </w:t>
      </w:r>
      <w:hyperlink r:id="rId11">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https://onlinelibrary.wiley.com/doi/10.1111/jocn.70361?af=R</w:t>
        </w:r>
      </w:hyperlink>
      <w:r>
        <w:t xml:space="preserve"> - Please view link - unable to able to access data</w:t>
      </w:r>
      <w:r/>
    </w:p>
    <w:p>
      <w:pPr>
        <w:pStyle w:val="ListNumber"/>
        <w:spacing w:line="240" w:lineRule="auto"/>
        <w:ind w:left="720"/>
      </w:pPr>
      <w:r/>
      <w:hyperlink r:id="rId10">
        <w:r>
          <w:rPr>
            <w:color w:val="0000EE"/>
            <w:u w:val="single"/>
          </w:rPr>
          <w:t>https://pubmed.ncbi.nlm.nih.gov/29338894/</w:t>
        </w:r>
      </w:hyperlink>
      <w:r>
        <w:t xml:space="preserve"> - This article discusses the barriers faced by lesbian, gay, bisexual, and transgender (LGBT) individuals in accessing and receiving quality cancer care. It highlights the clustering of these barriers, suggesting multiple inequities exist in LGBT cancer care, although data on disparities along the cancer control continuum are not consistently available. The author emphasizes the need for healthcare providers, particularly nurses, to obtain training on LGBT health and their cancer-related needs to improve care for this population.</w:t>
      </w:r>
      <w:r/>
    </w:p>
    <w:p>
      <w:pPr>
        <w:pStyle w:val="ListNumber"/>
        <w:spacing w:line="240" w:lineRule="auto"/>
        <w:ind w:left="720"/>
      </w:pPr>
      <w:r/>
      <w:hyperlink r:id="rId15">
        <w:r>
          <w:rPr>
            <w:color w:val="0000EE"/>
            <w:u w:val="single"/>
          </w:rPr>
          <w:t>https://www.sciencedirect.com/science/article/abs/pii/S074920811730116X</w:t>
        </w:r>
      </w:hyperlink>
      <w:r>
        <w:t xml:space="preserve"> - This study examines the barriers to cancer care experienced by LGBT individuals. It identifies a clustering of these barriers, indicating multiple inequities in LGBT cancer care. The article underscores the importance of healthcare providers, especially nurses, receiving training on LGBT health and cancer-related needs to enhance the quality of care for this population.</w:t>
      </w:r>
      <w:r/>
    </w:p>
    <w:p>
      <w:pPr>
        <w:pStyle w:val="ListNumber"/>
        <w:spacing w:line="240" w:lineRule="auto"/>
        <w:ind w:left="720"/>
      </w:pPr>
      <w:r/>
      <w:hyperlink r:id="rId12">
        <w:r>
          <w:rPr>
            <w:color w:val="0000EE"/>
            <w:u w:val="single"/>
          </w:rPr>
          <w:t>https://journals.sagepub.com/doi/10.1089/lgbt.2017.0217</w:t>
        </w:r>
      </w:hyperlink>
      <w:r>
        <w:t xml:space="preserve"> - This research investigates the policies and guidelines regarding culturally competent care for sexual and gender minority cancer patients at National Cancer Institute-Designated Comprehensive Cancer Centers. The study highlights the need for healthcare providers to be trained in LGBT health and cancer-related needs to improve care for this population.</w:t>
      </w:r>
      <w:r/>
    </w:p>
    <w:p>
      <w:pPr>
        <w:pStyle w:val="ListNumber"/>
        <w:spacing w:line="240" w:lineRule="auto"/>
        <w:ind w:left="720"/>
      </w:pPr>
      <w:r/>
      <w:hyperlink r:id="rId13">
        <w:r>
          <w:rPr>
            <w:color w:val="0000EE"/>
            <w:u w:val="single"/>
          </w:rPr>
          <w:t>https://hub.tmu.edu.tw/en/publications/clinical-competencies-and-professional-quality-of-life-associated/</w:t>
        </w:r>
      </w:hyperlink>
      <w:r>
        <w:t xml:space="preserve"> - This study explores the factors associated with oncology nurses' behavior and intention to provide cancer care to LGBT individuals in Taiwan. It identifies intrapersonal, interpersonal, community, organizational, societal, and policy factors influencing nurses' practices. The findings emphasize the importance of related training courses offered by organizations to reduce cancer care disparities among LGBT individuals and enhance nurses' confidence and comfort in delivering holistic and patient-centered cancer care for this population.</w:t>
      </w:r>
      <w:r/>
    </w:p>
    <w:p>
      <w:pPr>
        <w:pStyle w:val="ListNumber"/>
        <w:spacing w:line="240" w:lineRule="auto"/>
        <w:ind w:left="720"/>
      </w:pPr>
      <w:r/>
      <w:hyperlink r:id="rId14">
        <w:r>
          <w:rPr>
            <w:color w:val="0000EE"/>
            <w:u w:val="single"/>
          </w:rPr>
          <w:t>https://pubmed.ncbi.nlm.nih.gov/39957626/</w:t>
        </w:r>
      </w:hyperlink>
      <w:r>
        <w:t xml:space="preserve"> - This qualitative study applies the socio-ecological model to explore the factors influencing nurses' culturally competent cancer care for LGBT individuals in Taiwan. It identifies multilevel barriers associated with oncology nurses' behaviors and intentions to provide cancer care to LGBT individuals, emphasizing the importance of related training courses offered by organizations to reduce cancer care disparities among LGBT individuals.</w:t>
      </w:r>
      <w:r/>
    </w:p>
    <w:p>
      <w:pPr>
        <w:pStyle w:val="ListNumber"/>
        <w:spacing w:line="240" w:lineRule="auto"/>
        <w:ind w:left="720"/>
      </w:pPr>
      <w:r/>
      <w:hyperlink r:id="rId11">
        <w:r>
          <w:rPr>
            <w:color w:val="0000EE"/>
            <w:u w:val="single"/>
          </w:rPr>
          <w:t>https://onlinelibrary.wiley.com/doi/10.1111/jan.16831</w:t>
        </w:r>
      </w:hyperlink>
      <w:r>
        <w:t xml:space="preserve"> - This study examines the factors associated with oncology nurses' behavior and intention to provide cancer care to LGBT individuals in Taiwan. It identifies intrapersonal, interpersonal, community, organizational, societal, and policy factors influencing nurses' practices. The findings emphasize the importance of related training courses offered by organizations to reduce cancer care disparities among LGBT individuals and enhance nurses' confidence and comfort in delivering holistic and patient-centered cancer care for this population.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nlinelibrary.wiley.com/doi/10.1111/jocn.70361?af=R" TargetMode="External"/><Relationship Id="rId10" Type="http://schemas.openxmlformats.org/officeDocument/2006/relationships/hyperlink" Target="https://pubmed.ncbi.nlm.nih.gov/29338894/" TargetMode="External"/><Relationship Id="rId11" Type="http://schemas.openxmlformats.org/officeDocument/2006/relationships/hyperlink" Target="https://onlinelibrary.wiley.com/doi/10.1111/jan.16831" TargetMode="External"/><Relationship Id="rId12" Type="http://schemas.openxmlformats.org/officeDocument/2006/relationships/hyperlink" Target="https://journals.sagepub.com/doi/10.1089/lgbt.2017.0217" TargetMode="External"/><Relationship Id="rId13" Type="http://schemas.openxmlformats.org/officeDocument/2006/relationships/hyperlink" Target="https://hub.tmu.edu.tw/en/publications/clinical-competencies-and-professional-quality-of-life-associated/" TargetMode="External"/><Relationship Id="rId14" Type="http://schemas.openxmlformats.org/officeDocument/2006/relationships/hyperlink" Target="https://pubmed.ncbi.nlm.nih.gov/39957626/" TargetMode="External"/><Relationship Id="rId15" Type="http://schemas.openxmlformats.org/officeDocument/2006/relationships/hyperlink" Target="https://www.sciencedirect.com/science/article/abs/pii/S074920811730116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