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Guide to Indonesia's LGSP Debate: What the New Term Means for Education and Policy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ideas and policy-watchers have noticed a fresh term circulating: LGSP. Government and religious bodies are debating replacing LGBT with Lesbi, Gay, Sodomi, dan Pencabulan in public discourse, and it matters because it shapes school lessons, religious outreach, and national messaging about morality.</w:t>
      </w:r>
      <w:r/>
    </w:p>
    <w:p>
      <w:r/>
      <w:r>
        <w:t>Essential Takeaways</w:t>
      </w:r>
      <w:r/>
      <w:r/>
    </w:p>
    <w:p>
      <w:pPr>
        <w:pStyle w:val="ListBullet"/>
        <w:spacing w:line="240" w:lineRule="auto"/>
        <w:ind w:left="720"/>
      </w:pPr>
      <w:r/>
      <w:r>
        <w:rPr>
          <w:b/>
        </w:rPr>
        <w:t>What LGSP stands for:</w:t>
      </w:r>
      <w:r>
        <w:t xml:space="preserve"> A proposed substitute for LGBT , Lesbi, Gay, Sodomi, dan Pencabulan , introduced by the Majelis Ulama Indonesia as a moral and educational framing.</w:t>
      </w:r>
      <w:r/>
    </w:p>
    <w:p>
      <w:pPr>
        <w:pStyle w:val="ListBullet"/>
        <w:spacing w:line="240" w:lineRule="auto"/>
        <w:ind w:left="720"/>
      </w:pPr>
      <w:r/>
      <w:r>
        <w:rPr>
          <w:b/>
        </w:rPr>
        <w:t>Government response:</w:t>
      </w:r>
      <w:r>
        <w:t xml:space="preserve"> The Ministry of Religious Affairs (Kemenag) calls the proposal understandable in the context of dakwah and education, while stressing broader public agreement is needed before it becomes law.</w:t>
      </w:r>
      <w:r/>
    </w:p>
    <w:p>
      <w:pPr>
        <w:pStyle w:val="ListBullet"/>
        <w:spacing w:line="240" w:lineRule="auto"/>
        <w:ind w:left="720"/>
      </w:pPr>
      <w:r/>
      <w:r>
        <w:rPr>
          <w:b/>
        </w:rPr>
        <w:t>Policy backdrop:</w:t>
      </w:r>
      <w:r>
        <w:t xml:space="preserve"> The move ties into Perpres No. 111/2025, which lists the spread of LGBTQ culture as a non-military national threat and prompts preventive strategies.</w:t>
      </w:r>
      <w:r/>
    </w:p>
    <w:p>
      <w:pPr>
        <w:pStyle w:val="ListBullet"/>
        <w:spacing w:line="240" w:lineRule="auto"/>
        <w:ind w:left="720"/>
      </w:pPr>
      <w:r/>
      <w:r>
        <w:rPr>
          <w:b/>
        </w:rPr>
        <w:t>Practical impact:</w:t>
      </w:r>
      <w:r>
        <w:t xml:space="preserve"> Expect new educational materials, mosque- or pesantren-based outreach, and local government involvement in child protection and community guidance.</w:t>
      </w:r>
      <w:r/>
    </w:p>
    <w:p>
      <w:pPr>
        <w:pStyle w:val="ListBullet"/>
        <w:spacing w:line="240" w:lineRule="auto"/>
        <w:ind w:left="720"/>
      </w:pPr>
      <w:r/>
      <w:r>
        <w:rPr>
          <w:b/>
        </w:rPr>
        <w:t>Tone and reception:</w:t>
      </w:r>
      <w:r>
        <w:t xml:space="preserve"> The idea is controversial; some see it as clarifying moral norms, others warn it risks further stigma and needs wider public debate.</w:t>
      </w:r>
      <w:r/>
      <w:r/>
    </w:p>
    <w:p>
      <w:pPr>
        <w:pStyle w:val="Heading2"/>
      </w:pPr>
      <w:r>
        <w:t>Why LGSP has become a hot phrase now</w:t>
      </w:r>
      <w:r/>
    </w:p>
    <w:p>
      <w:r/>
      <w:r>
        <w:t>Kemenag officials say the LGSP suggestion makes sense within religious teaching, where words carry moral weight and a sharper tone can feel clearer to congregations. According to Republika, Ahmed Zayadi of Kemenag described the MUI’s stance as “wajar” , a reasonable part of dakwah and ethics education , and tied it to efforts to strengthen societal morals. That matters because language shapes how issues are taught in schools and discussed in mosques, and a sterner label like LGSP carries a different emotional register than LGBT.</w:t>
      </w:r>
      <w:r/>
    </w:p>
    <w:p>
      <w:pPr>
        <w:pStyle w:val="Heading2"/>
      </w:pPr>
      <w:r>
        <w:t>How the presidential policy frames this debate</w:t>
      </w:r>
      <w:r/>
    </w:p>
    <w:p>
      <w:r/>
      <w:r>
        <w:t>This isn’t happening in a vacuum. Perpres No. 111/2025, noted in several reports, explicitly classifies the spread of LGBTQ culture as a non-military threat to national resilience. That reframing moves the discussion from an identity conversation into one of national security and public policy, which explains why ministries are preparing materials and strategies. For parents and educators, that means you’ll see more structured guidance from official channels about what is and isn’t acceptable in curricula and community programmes.</w:t>
      </w:r>
      <w:r/>
    </w:p>
    <w:p>
      <w:pPr>
        <w:pStyle w:val="Heading2"/>
      </w:pPr>
      <w:r>
        <w:t>What change could look like in classrooms and religious outreach</w:t>
      </w:r>
      <w:r/>
    </w:p>
    <w:p>
      <w:r/>
      <w:r>
        <w:t>Kemenag has signalled it will roll out educational content aimed at preventing what officials call the spread of LGBTQ culture. Reports in Detik and Liputan6 suggest those materials will be used in pesantrens, KUA offices and wider community settings. Practically, teachers and religious leaders will need clear, evidence-based lesson plans and safeguards so lessons are age-appropriate and don’t verge into harassment. If you’re a teacher or parent, ask for curricula samples and guidance on safeguarding to ensure children’s wellbeing remains central.</w:t>
      </w:r>
      <w:r/>
    </w:p>
    <w:p>
      <w:pPr>
        <w:pStyle w:val="Heading2"/>
      </w:pPr>
      <w:r>
        <w:t>Local governments, child protection and community roles</w:t>
      </w:r>
      <w:r/>
    </w:p>
    <w:p>
      <w:r/>
      <w:r>
        <w:t>Local government involvement is already being emphasised. Kompas coverage on child protection notes that regional authorities are expected to take part in shielding children from influences deemed harmful. That will likely translate into municipal campaigns, social services engagement, and possibly enforcement of local regulations. For activists and NGOs, the task will be to monitor whether protective language is used to support children or to criminalise and marginalise communities.</w:t>
      </w:r>
      <w:r/>
    </w:p>
    <w:p>
      <w:pPr>
        <w:pStyle w:val="Heading2"/>
      </w:pPr>
      <w:r>
        <w:t>Why public consensus matters before any legal shift</w:t>
      </w:r>
      <w:r/>
    </w:p>
    <w:p>
      <w:r/>
      <w:r>
        <w:t>Kemenag has said that turning LGSP into a binding legal norm would require far broader public agreement. That’s a reminder that formal law needs democratic backing and careful process. If MUI wants LGSP enshrined in law, it must build wider narratives and public understanding first. In the meantime, civil-society voices, legal experts and health professionals will be watching how terminology affects rights, access to services and social cohesion.</w:t>
      </w:r>
      <w:r/>
    </w:p>
    <w:p>
      <w:r/>
      <w:r>
        <w:t>It's a subtle but powerful battle over words , and those words will shape what children learn, what communities accept, and how policies are enforced.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0">
        <w:r>
          <w:rPr>
            <w:color w:val="0000EE"/>
            <w:u w:val="single"/>
          </w:rPr>
          <w:t>[2]</w:t>
        </w:r>
      </w:hyperlink>
      <w:r>
        <w:t xml:space="preserve">, </w:t>
      </w:r>
      <w:hyperlink r:id="rId11">
        <w:r>
          <w:rPr>
            <w:color w:val="0000EE"/>
            <w:u w:val="single"/>
          </w:rPr>
          <w:t>[4]</w:t>
        </w:r>
      </w:hyperlink>
      <w:r>
        <w:t xml:space="preserve">- Paragraph 3: </w:t>
      </w:r>
      <w:hyperlink r:id="rId12">
        <w:r>
          <w:rPr>
            <w:color w:val="0000EE"/>
            <w:u w:val="single"/>
          </w:rPr>
          <w:t>[3]</w:t>
        </w:r>
      </w:hyperlink>
      <w:r>
        <w:t xml:space="preserve">, </w:t>
      </w:r>
      <w:hyperlink r:id="rId10">
        <w:r>
          <w:rPr>
            <w:color w:val="0000EE"/>
            <w:u w:val="single"/>
          </w:rPr>
          <w:t>[2]</w:t>
        </w:r>
      </w:hyperlink>
      <w:r>
        <w:t xml:space="preserve">- Paragraph 4: </w:t>
      </w:r>
      <w:hyperlink r:id="rId13">
        <w:r>
          <w:rPr>
            <w:color w:val="0000EE"/>
            <w:u w:val="single"/>
          </w:rPr>
          <w:t>[6]</w:t>
        </w:r>
      </w:hyperlink>
      <w:r>
        <w:t xml:space="preserve">, </w:t>
      </w:r>
      <w:hyperlink r:id="rId12">
        <w:r>
          <w:rPr>
            <w:color w:val="0000EE"/>
            <w:u w:val="single"/>
          </w:rPr>
          <w:t>[3]</w:t>
        </w:r>
      </w:hyperlink>
      <w:r>
        <w:t xml:space="preserve">- Paragraph 5: </w:t>
      </w:r>
      <w:hyperlink r:id="rId10">
        <w:r>
          <w:rPr>
            <w:color w:val="0000EE"/>
            <w:u w:val="single"/>
          </w:rPr>
          <w:t>[2]</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https://khazanah.republika.co.id/berita/tj4dnf483/mui-ganti-lgbt-jadi-lesbi-gay-sodomi-dan-pencabulan-lgsp-apa-kata-kemenag</w:t>
        </w:r>
      </w:hyperlink>
      <w:r>
        <w:t xml:space="preserve"> - Please view link - unable to able to access data</w:t>
      </w:r>
      <w:r/>
    </w:p>
    <w:p>
      <w:pPr>
        <w:pStyle w:val="ListNumber"/>
        <w:spacing w:line="240" w:lineRule="auto"/>
        <w:ind w:left="720"/>
      </w:pPr>
      <w:r/>
      <w:hyperlink r:id="rId10">
        <w:r>
          <w:rPr>
            <w:color w:val="0000EE"/>
            <w:u w:val="single"/>
          </w:rPr>
          <w:t>https://www.detik.com/hikmah/khazanah/d-8564165/respons-perpres-111-tahun-2025-kemenag-siapkan-strategi-cegah-penyebaran-lgbtq</w:t>
        </w:r>
      </w:hyperlink>
      <w:r>
        <w:t xml:space="preserve"> - In response to Presidential Regulation No. 111 of 2025, which designates the spread of LGBTQ culture as a non-military threat to national defence, the Ministry of Religious Affairs (Kemenag) is preparing educational materials to prevent the dissemination of LGBTQ culture. This initiative was discussed in a leadership meeting led by Deputy Minister of Religious Affairs Romo Muhammad Syafi'i, attended by Kemenag officials. The materials aim to provide understanding to students and are being developed in collaboration with academics and experts. The placement of this content within the curriculum is also being considered.</w:t>
      </w:r>
      <w:r/>
    </w:p>
    <w:p>
      <w:pPr>
        <w:pStyle w:val="ListNumber"/>
        <w:spacing w:line="240" w:lineRule="auto"/>
        <w:ind w:left="720"/>
      </w:pPr>
      <w:r/>
      <w:hyperlink r:id="rId12">
        <w:r>
          <w:rPr>
            <w:color w:val="0000EE"/>
            <w:u w:val="single"/>
          </w:rPr>
          <w:t>https://berita.liputan6.com/amp/8246135/kemenag-siapkan-materi-edukasi-cegah-penyebaran-budaya-lgbtq-begini-konsepnya</w:t>
        </w:r>
      </w:hyperlink>
      <w:r>
        <w:t xml:space="preserve"> - The Ministry of Religious Affairs (Kemenag) is preparing educational materials to prevent the spread of LGBTQ culture in educational institutions, following Presidential Regulation No. 111 of 2025, which categorises the dissemination of LGBTQ culture as a non-military threat. Deputy Minister of Religious Affairs Romo Muhammad Syafi'i explained that the materials are being developed in collaboration with academics and experts, considering appropriate placement within subjects and educational levels. The term 'spread of LGBTQ culture' is used to distinguish between individuals and movements in the educational content.</w:t>
      </w:r>
      <w:r/>
    </w:p>
    <w:p>
      <w:pPr>
        <w:pStyle w:val="ListNumber"/>
        <w:spacing w:line="240" w:lineRule="auto"/>
        <w:ind w:left="720"/>
      </w:pPr>
      <w:r/>
      <w:hyperlink r:id="rId11">
        <w:r>
          <w:rPr>
            <w:color w:val="0000EE"/>
            <w:u w:val="single"/>
          </w:rPr>
          <w:t>https://khazanah.republika.co.id/berita/thua9g430/lgbtq-jadi-ancaman-non-militer-ini-cara-kemenag-cegah-penyebarannya</w:t>
        </w:r>
      </w:hyperlink>
      <w:r>
        <w:t xml:space="preserve"> - Following Presidential Regulation No. 111 of 2025, which identifies the spread of LGBTQ culture as a non-military threat to national defence, the Ministry of Religious Affairs (Kemenag) is preparing educational content to prevent the dissemination of LGBTQ culture. This initiative was discussed in a leadership meeting led by Deputy Minister of Religious Affairs Romo Muhammad Syafi'i, attended by Kemenag officials. The materials aim to provide understanding to students and are being developed in collaboration with academics and experts.</w:t>
      </w:r>
      <w:r/>
    </w:p>
    <w:p>
      <w:pPr>
        <w:pStyle w:val="ListNumber"/>
        <w:spacing w:line="240" w:lineRule="auto"/>
        <w:ind w:left="720"/>
      </w:pPr>
      <w:r/>
      <w:hyperlink r:id="rId14">
        <w:r>
          <w:rPr>
            <w:color w:val="0000EE"/>
            <w:u w:val="single"/>
          </w:rPr>
          <w:t>https://www.detik.com/hikmah/khazanah/d-8176838/mui-apresiasi-keputusan-prabowo-bentuk-ditjen-pesantren-di-kemenag-ri</w:t>
        </w:r>
      </w:hyperlink>
      <w:r>
        <w:t xml:space="preserve"> - The Indonesian Ulema Council (MUI) has appreciated President Prabowo Subianto's decision to establish the Directorate General of Pesantren within the Ministry of Religious Affairs (Kemenag). MUI's Chairman for Arts, Culture, and Islamic Civilization, KH Jeje Zaenudin, welcomed the decision, stating that the presence of the Directorate General of Pesantren can improve the quantity and quality of Islamic boarding schools (pesantren).</w:t>
      </w:r>
      <w:r/>
    </w:p>
    <w:p>
      <w:pPr>
        <w:pStyle w:val="ListNumber"/>
        <w:spacing w:line="240" w:lineRule="auto"/>
        <w:ind w:left="720"/>
      </w:pPr>
      <w:r/>
      <w:hyperlink r:id="rId13">
        <w:r>
          <w:rPr>
            <w:color w:val="0000EE"/>
            <w:u w:val="single"/>
          </w:rPr>
          <w:t>https://kilaskementerian.kompas.com/kemendagri/read/2026/03/11/19000001/mendagri-tegaskan-pemda-harus-terlibat-dalam-pelindungan-anak-dari-dampak</w:t>
        </w:r>
      </w:hyperlink>
      <w:r>
        <w:t xml:space="preserve"> - The Minister of Home Affairs, Muhammad Tito Karnavian, has emphasised that regional governments must be involved in protecting children from the negative impacts of electronic systems, particularly social media. This statement was made during a coordination meeting on the implementation of Government Regulation No. 17 of 2025 concerning the Management of Electronic System Implementation in Child Protection (PP Tunas) at the Ministry of Communication and Digital (Komdigi) office in Jakarta.</w:t>
      </w:r>
      <w:r/>
    </w:p>
    <w:p>
      <w:pPr>
        <w:pStyle w:val="ListNumber"/>
        <w:spacing w:line="240" w:lineRule="auto"/>
        <w:ind w:left="720"/>
      </w:pPr>
      <w:r/>
      <w:hyperlink r:id="rId15">
        <w:r>
          <w:rPr>
            <w:color w:val="0000EE"/>
            <w:u w:val="single"/>
          </w:rPr>
          <w:t>https://kilaskementerian.kompas.com/kemendag/read/2026/06/18/16331261/kemendag-sosialisasikan-permendag-nomor-18-tahun-2026-tingkatkan-efektivitas</w:t>
        </w:r>
      </w:hyperlink>
      <w:r>
        <w:t xml:space="preserve"> - The Ministry of Trade (Kemendag) has socialised Minister of Trade Regulation (Permendag) No. 18 of 2026, which aims to improve the effectiveness of import licensing services and legal certainty. The regulation was developed as a result of evaluating the implementation of import policies to enhance service effectiveness, strengthen legal certainty, and refine the supervision mechanism.</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khazanah.republika.co.id/berita/tj4dnf483/mui-ganti-lgbt-jadi-lesbi-gay-sodomi-dan-pencabulan-lgsp-apa-kata-kemenag" TargetMode="External"/><Relationship Id="rId10" Type="http://schemas.openxmlformats.org/officeDocument/2006/relationships/hyperlink" Target="https://www.detik.com/hikmah/khazanah/d-8564165/respons-perpres-111-tahun-2025-kemenag-siapkan-strategi-cegah-penyebaran-lgbtq" TargetMode="External"/><Relationship Id="rId11" Type="http://schemas.openxmlformats.org/officeDocument/2006/relationships/hyperlink" Target="https://khazanah.republika.co.id/berita/thua9g430/lgbtq-jadi-ancaman-non-militer-ini-cara-kemenag-cegah-penyebarannya" TargetMode="External"/><Relationship Id="rId12" Type="http://schemas.openxmlformats.org/officeDocument/2006/relationships/hyperlink" Target="https://berita.liputan6.com/amp/8246135/kemenag-siapkan-materi-edukasi-cegah-penyebaran-budaya-lgbtq-begini-konsepnya" TargetMode="External"/><Relationship Id="rId13" Type="http://schemas.openxmlformats.org/officeDocument/2006/relationships/hyperlink" Target="https://kilaskementerian.kompas.com/kemendagri/read/2026/03/11/19000001/mendagri-tegaskan-pemda-harus-terlibat-dalam-pelindungan-anak-dari-dampak" TargetMode="External"/><Relationship Id="rId14" Type="http://schemas.openxmlformats.org/officeDocument/2006/relationships/hyperlink" Target="https://www.detik.com/hikmah/khazanah/d-8176838/mui-apresiasi-keputusan-prabowo-bentuk-ditjen-pesantren-di-kemenag-ri" TargetMode="External"/><Relationship Id="rId15" Type="http://schemas.openxmlformats.org/officeDocument/2006/relationships/hyperlink" Target="https://kilaskementerian.kompas.com/kemendag/read/2026/06/18/16331261/kemendag-sosialisasikan-permendag-nomor-18-tahun-2026-tingkatkan-efektivita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