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Organising Strategies for the HIV Movement in a Rights-Threatening Era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Shifting from lab bench to ballot box, activists are rebuilding the playbook: who’s leading, what organising works, and why community power matters now more than ever. This matters to advocates, clinicians and anyone who cares about ending AIDS while protecting civil liberties.</w:t>
      </w:r>
      <w:r/>
    </w:p>
    <w:p>
      <w:r/>
      <w:r>
        <w:t>Essential Takeaways</w:t>
      </w:r>
      <w:r/>
      <w:r/>
    </w:p>
    <w:p>
      <w:pPr>
        <w:pStyle w:val="ListBullet"/>
        <w:spacing w:line="240" w:lineRule="auto"/>
        <w:ind w:left="720"/>
      </w:pPr>
      <w:r/>
      <w:r>
        <w:rPr>
          <w:b/>
        </w:rPr>
        <w:t>Rights under pressure:</w:t>
      </w:r>
      <w:r>
        <w:t xml:space="preserve"> Legal and political rollbacks are driving renewed urgency for organised HIV advocacy.</w:t>
      </w:r>
      <w:r/>
    </w:p>
    <w:p>
      <w:pPr>
        <w:pStyle w:val="ListBullet"/>
        <w:spacing w:line="240" w:lineRule="auto"/>
        <w:ind w:left="720"/>
      </w:pPr>
      <w:r/>
      <w:r>
        <w:rPr>
          <w:b/>
        </w:rPr>
        <w:t>Solidarity wins:</w:t>
      </w:r>
      <w:r>
        <w:t xml:space="preserve"> Cross-movement alliances , disability justice, LGBTQ+ groups and civil liberties advocates , strengthen reach and legitimacy.</w:t>
      </w:r>
      <w:r/>
    </w:p>
    <w:p>
      <w:pPr>
        <w:pStyle w:val="ListBullet"/>
        <w:spacing w:line="240" w:lineRule="auto"/>
        <w:ind w:left="720"/>
      </w:pPr>
      <w:r/>
      <w:r>
        <w:rPr>
          <w:b/>
        </w:rPr>
        <w:t>Beyond evidence:</w:t>
      </w:r>
      <w:r>
        <w:t xml:space="preserve"> Scientific advances help, but policy change needs strategic campaigning, grassroots mobilisation and political leadership.</w:t>
      </w:r>
      <w:r/>
    </w:p>
    <w:p>
      <w:pPr>
        <w:pStyle w:val="ListBullet"/>
        <w:spacing w:line="240" w:lineRule="auto"/>
        <w:ind w:left="720"/>
      </w:pPr>
      <w:r/>
      <w:r>
        <w:rPr>
          <w:b/>
        </w:rPr>
        <w:t>Practical organising:</w:t>
      </w:r>
      <w:r>
        <w:t xml:space="preserve"> Local canvassing, legal strategic litigation and narrative work are showing impact; clarity of goals matters.</w:t>
      </w:r>
      <w:r/>
    </w:p>
    <w:p>
      <w:pPr>
        <w:pStyle w:val="ListBullet"/>
        <w:spacing w:line="240" w:lineRule="auto"/>
        <w:ind w:left="720"/>
      </w:pPr>
      <w:r/>
      <w:r>
        <w:rPr>
          <w:b/>
        </w:rPr>
        <w:t>Watch the money:</w:t>
      </w:r>
      <w:r>
        <w:t xml:space="preserve"> Funding shifts alter what advocacy can do, so diversifying support and training new leaders is crucial.</w:t>
      </w:r>
      <w:r/>
      <w:r/>
    </w:p>
    <w:p>
      <w:pPr>
        <w:pStyle w:val="Heading2"/>
      </w:pPr>
      <w:r>
        <w:t>Why evidence alone won't protect progress</w:t>
      </w:r>
      <w:r/>
    </w:p>
    <w:p>
      <w:r/>
      <w:r>
        <w:t>The single clearest fact is that great science doesn’t automatically translate to rights. Clinical breakthroughs have turned HIV from a death sentence into a chronic condition for people with access to care, but policies and public sentiment still shape who benefits. According to international human rights briefings, ending AIDS by 2030 depends as much on protecting human rights as it does on drugs and diagnostics. That means activists must keep telling stories, pressing courts and lobbying parliaments , not just publishing papers.</w:t>
      </w:r>
      <w:r/>
    </w:p>
    <w:p>
      <w:r/>
      <w:r>
        <w:t>Context matters: where stigma, punitive laws or political hostility persist, people are less likely to seek testing or treatment. Practical takeaway , if you work in a clinic or community group, invest time in policy literacy and partnerships with legal advocates; the science will only go so far without safe access.</w:t>
      </w:r>
      <w:r/>
    </w:p>
    <w:p>
      <w:pPr>
        <w:pStyle w:val="Heading2"/>
      </w:pPr>
      <w:r>
        <w:t>Solidarity is tactical, not just virtuous</w:t>
      </w:r>
      <w:r/>
    </w:p>
    <w:p>
      <w:r/>
      <w:r>
        <w:t>Alliances are more than warm gestures; they’re a tactical necessity. Recent campaigns that linked HIV advocacy with disability justice and broader civil-rights movements have amplified voices and opened new channels for influence. Organisations report that combining policy asks , for instance, anti-discrimination measures that also protect healthcare access , helps shift debates in legislatures.</w:t>
      </w:r>
      <w:r/>
    </w:p>
    <w:p>
      <w:r/>
      <w:r>
        <w:t>On the ground, that looks like co-authored policy briefs, joint rallies and shared legal strategies. If you’re deciding how to allocate limited staff time, prioritise one or two sincere cross-movement partnerships that bring reciprocal capacity, not dozens of superficial sign-ons.</w:t>
      </w:r>
      <w:r/>
    </w:p>
    <w:p>
      <w:pPr>
        <w:pStyle w:val="Heading2"/>
      </w:pPr>
      <w:r>
        <w:t>Campaign models that win in hostile political climates</w:t>
      </w:r>
      <w:r/>
    </w:p>
    <w:p>
      <w:r/>
      <w:r>
        <w:t>When the environment is rights-threatening, campaign design changes. Activists increasingly use a mixed toolkit: targeted litigation to set legal precedents, local organising to build voter pressure, and rapid-response communications to control the narrative. The HIV advocacy world is borrowing tactics from civil liberties and environmental movements , long-term community organising plus short, high-impact legal cases.</w:t>
      </w:r>
      <w:r/>
    </w:p>
    <w:p>
      <w:r/>
      <w:r>
        <w:t>Practical tip , define victory clearly. Is the immediate aim an injunction against enforcement of a punitive law, or longer-term decriminalisation? Clarity helps teams choose whether to prioritise courtroom battles, ballot-box work or media-driven pressure campaigns.</w:t>
      </w:r>
      <w:r/>
    </w:p>
    <w:p>
      <w:pPr>
        <w:pStyle w:val="Heading2"/>
      </w:pPr>
      <w:r>
        <w:t>Funding landscapes and leadership pipelines</w:t>
      </w:r>
      <w:r/>
    </w:p>
    <w:p>
      <w:r/>
      <w:r>
        <w:t>Funding cuts and shifting donor priorities are real constraints. Recent reporting shows that when government or private funders pull back, smaller community groups struggle to maintain outreach and legal defence work. That’s why building diverse revenue streams , from grassroots donations to legal defence funds and international grants , is more than prudent finance; it sustains autonomy.</w:t>
      </w:r>
      <w:r/>
    </w:p>
    <w:p>
      <w:r/>
      <w:r>
        <w:t>Equally important is leadership development. Advocacy wins were rarely the work of a single heroic director; they came from networks of trained organisers, community lawyers and peer leaders. Invest in mentorship, community campaigns and practical skills training so movements can outlast political cycles.</w:t>
      </w:r>
      <w:r/>
    </w:p>
    <w:p>
      <w:pPr>
        <w:pStyle w:val="Heading2"/>
      </w:pPr>
      <w:r>
        <w:t>What clinicians, advocates and allies can do this week</w:t>
      </w:r>
      <w:r/>
    </w:p>
    <w:p>
      <w:r/>
      <w:r>
        <w:t>You don’t need to start a new organisation overnight. Join a coalition that matches your expertise, support strategic litigation funds, or help amplify lived-experience narratives in local media. Clinicians can provide testimony or data; lawyers can look for strategic cases; community groups can recruit volunteers for door-knocking or phone banks.</w:t>
      </w:r>
      <w:r/>
    </w:p>
    <w:p>
      <w:r/>
      <w:r>
        <w:t>And remember: even small acts of organising add up. A letter to a councillor, a well-timed op-ed, or a training workshop for peer navigators can bend policy over time. The broader lesson is obvious but easy to forget , rights are organised, not automatic.</w:t>
      </w:r>
      <w:r/>
    </w:p>
    <w:p>
      <w:r/>
      <w:r>
        <w:t>It's a small, intentional shift that can make every advance in treatment mean something real for the people who need it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[3]</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[4]</w:t>
        </w:r>
      </w:hyperlink>
      <w:r>
        <w:t xml:space="preserve">- Paragraph 3: </w:t>
      </w:r>
      <w:hyperlink r:id="rId13">
        <w:r>
          <w:rPr>
            <w:color w:val="0000EE"/>
            <w:u w:val="single"/>
          </w:rPr>
          <w:t>[2]</w:t>
        </w:r>
      </w:hyperlink>
      <w:r>
        <w:t xml:space="preserve">, </w:t>
      </w:r>
      <w:hyperlink r:id="rId14">
        <w:r>
          <w:rPr>
            <w:color w:val="0000EE"/>
            <w:u w:val="single"/>
          </w:rPr>
          <w:t>[6]</w:t>
        </w:r>
      </w:hyperlink>
      <w:r>
        <w:t xml:space="preserve">- Paragraph 4: </w:t>
      </w:r>
      <w:hyperlink r:id="rId15">
        <w:r>
          <w:rPr>
            <w:color w:val="0000EE"/>
            <w:u w:val="single"/>
          </w:rPr>
          <w:t>[7]</w:t>
        </w:r>
      </w:hyperlink>
      <w:r>
        <w:t xml:space="preserve">, </w:t>
      </w:r>
      <w:hyperlink r:id="rId14">
        <w:r>
          <w:rPr>
            <w:color w:val="0000EE"/>
            <w:u w:val="single"/>
          </w:rPr>
          <w:t>[6]</w:t>
        </w:r>
      </w:hyperlink>
      <w:r>
        <w:t xml:space="preserve">- Paragraph 5: </w:t>
      </w:r>
      <w:hyperlink r:id="rId13">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https://www.hhrjournal.org/2026/08/01/the-anti-rights-movement-is-organised-are-we/</w:t>
        </w:r>
      </w:hyperlink>
      <w:r>
        <w:t xml:space="preserve"> - Please view link - unable to able to access data</w:t>
      </w:r>
      <w:r/>
    </w:p>
    <w:p>
      <w:pPr>
        <w:pStyle w:val="ListNumber"/>
        <w:spacing w:line="240" w:lineRule="auto"/>
        <w:ind w:left="720"/>
      </w:pPr>
      <w:r/>
      <w:hyperlink r:id="rId13">
        <w:r>
          <w:rPr>
            <w:color w:val="0000EE"/>
            <w:u w:val="single"/>
          </w:rPr>
          <w:t>https://www.hivlawandpolicy.org/news/collective-action-through-solidarity-call-hiv-advocacy-and-disability-justice-movements</w:t>
        </w:r>
      </w:hyperlink>
      <w:r>
        <w:t xml:space="preserve"> - This article discusses the importance of collective action and solidarity in HIV advocacy and disability justice movements. It highlights the need for sustained and accelerated HIV progress through community engagement and strategic advocacy. The piece emphasizes that scientific advancements alone are insufficient to end the HIV epidemic; instead, organized communities and political leadership are crucial for achieving equitable access and combating stigma and discrimination.</w:t>
      </w:r>
      <w:r/>
    </w:p>
    <w:p>
      <w:pPr>
        <w:pStyle w:val="ListNumber"/>
        <w:spacing w:line="240" w:lineRule="auto"/>
        <w:ind w:left="720"/>
      </w:pPr>
      <w:r/>
      <w:hyperlink r:id="rId10">
        <w:r>
          <w:rPr>
            <w:color w:val="0000EE"/>
            <w:u w:val="single"/>
          </w:rPr>
          <w:t>https://www.ungeneva.org/en/news-media/news/2024/11/100715/upholding-human-rights-key-ending-aids-2030</w:t>
        </w:r>
      </w:hyperlink>
      <w:r>
        <w:t xml:space="preserve"> - A report by UNAIDS underscores the critical role of human rights in ending the AIDS pandemic by 2030. It highlights how stigma, discrimination, and punitive laws hinder progress in the fight against HIV. Despite significant advancements in HIV treatment and prevention, human rights violations continue to block access to essential services, particularly affecting marginalized communities such as women, girls, and LGBTQ+ individuals.</w:t>
      </w:r>
      <w:r/>
    </w:p>
    <w:p>
      <w:pPr>
        <w:pStyle w:val="ListNumber"/>
        <w:spacing w:line="240" w:lineRule="auto"/>
        <w:ind w:left="720"/>
      </w:pPr>
      <w:r/>
      <w:hyperlink r:id="rId12">
        <w:r>
          <w:rPr>
            <w:color w:val="0000EE"/>
            <w:u w:val="single"/>
          </w:rPr>
          <w:t>https://onlinelibrary.wiley.com/doi/abs/10.1002/jia2.25724</w:t>
        </w:r>
      </w:hyperlink>
      <w:r>
        <w:t xml:space="preserve"> - This study examines the meaningful involvement of people living with HIV (PLHIV) and those directly affected by HIV in the design, development, and implementation of service delivery, research, and policy-making. It argues that the principle of greater involvement of PLHIV (GIPA) ensures equitable access to services and engagement of marginalized groups in the HIV response, contributing to improved outcomes in access to HIV treatment, prevention, support, and care services worldwide.</w:t>
      </w:r>
      <w:r/>
    </w:p>
    <w:p>
      <w:pPr>
        <w:pStyle w:val="ListNumber"/>
        <w:spacing w:line="240" w:lineRule="auto"/>
        <w:ind w:left="720"/>
      </w:pPr>
      <w:r/>
      <w:hyperlink r:id="rId11">
        <w:r>
          <w:rPr>
            <w:color w:val="0000EE"/>
            <w:u w:val="single"/>
          </w:rPr>
          <w:t>https://pmc.ncbi.nlm.nih.gov/articles/PMC9930506/</w:t>
        </w:r>
      </w:hyperlink>
      <w:r>
        <w:t xml:space="preserve"> - The article presents the 'We the People' framework, a Black strategy to end the HIV epidemic in the United States. It outlines four pillars of action: dismantling anti-Black practices, providing resources and services that address the needs of Black communities, ensuring universal access to high-quality healthcare, and building the capacity of Black communities to be change agents in ending HIV. Each pillar includes specific recommendations informed by community members, social justice advocates, and HIV workforce experts.</w:t>
      </w:r>
      <w:r/>
    </w:p>
    <w:p>
      <w:pPr>
        <w:pStyle w:val="ListNumber"/>
        <w:spacing w:line="240" w:lineRule="auto"/>
        <w:ind w:left="720"/>
      </w:pPr>
      <w:r/>
      <w:hyperlink r:id="rId14">
        <w:r>
          <w:rPr>
            <w:color w:val="0000EE"/>
            <w:u w:val="single"/>
          </w:rPr>
          <w:t>https://www.hivcaucus.org/programs-and-principles/policy-and-advocacy</w:t>
        </w:r>
      </w:hyperlink>
      <w:r>
        <w:t xml:space="preserve"> - This page outlines the HIV Caucus's policy and advocacy efforts, emphasizing the need for a response to HIV that uplifts dignity, human rights, and wellness. It highlights the disproportionate impact of HIV on Black, Latinx, Indigenous, and other communities of colour, driven by persistent racial, gender, and social inequities. The page discusses the importance of addressing stigma, discrimination, and human rights violations to improve access to healthcare and end the HIV epidemic.</w:t>
      </w:r>
      <w:r/>
    </w:p>
    <w:p>
      <w:pPr>
        <w:pStyle w:val="ListNumber"/>
        <w:spacing w:line="240" w:lineRule="auto"/>
        <w:ind w:left="720"/>
      </w:pPr>
      <w:r/>
      <w:hyperlink r:id="rId15">
        <w:r>
          <w:rPr>
            <w:color w:val="0000EE"/>
            <w:u w:val="single"/>
          </w:rPr>
          <w:t>https://www.theguardian.com/us-news/2026/jun/22/us-hiv-aids-funding-cuts-activism</w:t>
        </w:r>
      </w:hyperlink>
      <w:r>
        <w:t xml:space="preserve"> - This article reports on activists confronting Congress over proposed cuts to federal HIV funding. It highlights protests and advocacy efforts aimed at preventing the reversal of decades of progress in the HIV response. Activists are demanding that the government not undo advancements made in HIV treatment, prevention, and care, emphasizing the critical importance of sustained funding and support for HIV programs to continue progress in ending the epidemic.</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hhrjournal.org/2026/08/01/the-anti-rights-movement-is-organised-are-we/" TargetMode="External"/><Relationship Id="rId10" Type="http://schemas.openxmlformats.org/officeDocument/2006/relationships/hyperlink" Target="https://www.ungeneva.org/en/news-media/news/2024/11/100715/upholding-human-rights-key-ending-aids-2030" TargetMode="External"/><Relationship Id="rId11" Type="http://schemas.openxmlformats.org/officeDocument/2006/relationships/hyperlink" Target="https://pmc.ncbi.nlm.nih.gov/articles/PMC9930506/" TargetMode="External"/><Relationship Id="rId12" Type="http://schemas.openxmlformats.org/officeDocument/2006/relationships/hyperlink" Target="https://onlinelibrary.wiley.com/doi/abs/10.1002/jia2.25724" TargetMode="External"/><Relationship Id="rId13" Type="http://schemas.openxmlformats.org/officeDocument/2006/relationships/hyperlink" Target="https://www.hivlawandpolicy.org/news/collective-action-through-solidarity-call-hiv-advocacy-and-disability-justice-movements" TargetMode="External"/><Relationship Id="rId14" Type="http://schemas.openxmlformats.org/officeDocument/2006/relationships/hyperlink" Target="https://www.hivcaucus.org/programs-and-principles/policy-and-advocacy" TargetMode="External"/><Relationship Id="rId15" Type="http://schemas.openxmlformats.org/officeDocument/2006/relationships/hyperlink" Target="https://www.theguardian.com/us-news/2026/jun/22/us-hiv-aids-funding-cuts-activis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