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Invest in LGBTQ-Friendly Companies for Values-Driven Returns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growing trend: more investors want their portfolios to reflect LGBTQ+ inclusion, whether they’re supporting marriage equality, workplace protections, or broader social change. Here’s how to find genuine allies, avoid greenwashing, and still aim for competitive returns.</w:t>
      </w:r>
      <w:r/>
    </w:p>
    <w:p>
      <w:r/>
      <w:r>
        <w:t>Essential Takeaways</w:t>
      </w:r>
      <w:r/>
      <w:r/>
    </w:p>
    <w:p>
      <w:pPr>
        <w:pStyle w:val="ListBullet"/>
        <w:spacing w:line="240" w:lineRule="auto"/>
        <w:ind w:left="720"/>
      </w:pPr>
      <w:r/>
      <w:r>
        <w:rPr>
          <w:b/>
        </w:rPr>
        <w:t>Start with a plan:</w:t>
      </w:r>
      <w:r>
        <w:t xml:space="preserve"> decide whether you want exclusionary screens, positive selection, or impact-first investments.</w:t>
      </w:r>
      <w:r/>
    </w:p>
    <w:p>
      <w:pPr>
        <w:pStyle w:val="ListBullet"/>
        <w:spacing w:line="240" w:lineRule="auto"/>
        <w:ind w:left="720"/>
      </w:pPr>
      <w:r/>
      <w:r>
        <w:rPr>
          <w:b/>
        </w:rPr>
        <w:t>Use trusted ratings:</w:t>
      </w:r>
      <w:r>
        <w:t xml:space="preserve"> the Corporate Equality Index and indexes tied to it help identify companies with strong LGBTQ+ policies.</w:t>
      </w:r>
      <w:r/>
    </w:p>
    <w:p>
      <w:pPr>
        <w:pStyle w:val="ListBullet"/>
        <w:spacing w:line="240" w:lineRule="auto"/>
        <w:ind w:left="720"/>
      </w:pPr>
      <w:r/>
      <w:r>
        <w:rPr>
          <w:b/>
        </w:rPr>
        <w:t>Talk to a pro:</w:t>
      </w:r>
      <w:r>
        <w:t xml:space="preserve"> financial advisers can tailor screens and products to match your convictions without needless compromise.</w:t>
      </w:r>
      <w:r/>
    </w:p>
    <w:p>
      <w:pPr>
        <w:pStyle w:val="ListBullet"/>
        <w:spacing w:line="240" w:lineRule="auto"/>
        <w:ind w:left="720"/>
      </w:pPr>
      <w:r/>
      <w:r>
        <w:rPr>
          <w:b/>
        </w:rPr>
        <w:t>Performance isn’t sacrificed:</w:t>
      </w:r>
      <w:r>
        <w:t xml:space="preserve"> studies suggest firms with strong ESG records can rival or outperform peers, though past returns don’t guarantee future results.</w:t>
      </w:r>
      <w:r/>
    </w:p>
    <w:p>
      <w:pPr>
        <w:pStyle w:val="ListBullet"/>
        <w:spacing w:line="240" w:lineRule="auto"/>
        <w:ind w:left="720"/>
      </w:pPr>
      <w:r/>
      <w:r>
        <w:rPr>
          <w:b/>
        </w:rPr>
        <w:t>Check behaviour, not just words:</w:t>
      </w:r>
      <w:r>
        <w:t xml:space="preserve"> policies, benefits, lobbying records and supplier practices reveal if a company is a real ally.</w:t>
      </w:r>
      <w:r/>
      <w:r/>
    </w:p>
    <w:p>
      <w:pPr>
        <w:pStyle w:val="Heading2"/>
      </w:pPr>
      <w:r>
        <w:t>Why investors are choosing LGBTQ-friendly companies now</w:t>
      </w:r>
      <w:r/>
    </w:p>
    <w:p>
      <w:r/>
      <w:r>
        <w:t>Lots of people want their money to match their values, and LGBTQ inclusion is increasingly part of that conversation. The 2015 Obergefell decision reshaped the social backdrop for corporate policy and consumer expectations, and companies have been responding ever since. Investors now look for workplace protections, inclusive benefits and public stances that go beyond token gestures. If you care about visible, measurable support, you’ll want proof, policies, scorecards and consistent behaviour.</w:t>
      </w:r>
      <w:r/>
    </w:p>
    <w:p>
      <w:pPr>
        <w:pStyle w:val="Heading2"/>
      </w:pPr>
      <w:r>
        <w:t>What tools tell you a company is genuinely inclusive</w:t>
      </w:r>
      <w:r/>
    </w:p>
    <w:p>
      <w:r/>
      <w:r>
        <w:t>The Corporate Equality Index is the best-known benchmark for workplace equality, scoring firms on policies, benefits and practices. Indexes built on CEI thresholds let you buy baskets of higher-scoring companies rather than vetting each stock yourself. Meanwhile, ESG screens from mainstream providers and SRI funds can narrow choices by combining LGBTQ criteria with environmental and governance metrics. Use multiple sources so you’re not relying on a single PR line.</w:t>
      </w:r>
      <w:r/>
    </w:p>
    <w:p>
      <w:pPr>
        <w:pStyle w:val="Heading2"/>
      </w:pPr>
      <w:r>
        <w:t>How to build a portfolio that reflects LGBTQ values</w:t>
      </w:r>
      <w:r/>
    </w:p>
    <w:p>
      <w:r/>
      <w:r>
        <w:t>Decide the approach first: do you want to exclude companies that oppose LGBTQ rights, or actively invest in leaders? Exclusionary screening is straightforward, avoid certain industries or companies, but positive selection often feels more rewarding, supporting firms that promote inclusion. Ask your adviser about funds or ETFs that use CEI-based filters, and request custom screens if you want specific exclusions, such as companies that support anti-LGBTQ legislation.</w:t>
      </w:r>
      <w:r/>
    </w:p>
    <w:p>
      <w:pPr>
        <w:pStyle w:val="Heading2"/>
      </w:pPr>
      <w:r>
        <w:t>Will values-based investing cost you returns?</w:t>
      </w:r>
      <w:r/>
    </w:p>
    <w:p>
      <w:r/>
      <w:r>
        <w:t>It’s a fair worry that values will trim returns, but research into ESG factors shows companies with strong social governance can perform well over time. That said, performance varies by sector and market cycle, so don’t assume automatic outperformance. Treat LGBTQ-friendly investing like any other strategy: diversify, understand fees, and match time horizons to your goals. If you’re unsure, run side-by-side comparisons of screened funds versus broad benchmarks.</w:t>
      </w:r>
      <w:r/>
    </w:p>
    <w:p>
      <w:pPr>
        <w:pStyle w:val="Heading2"/>
      </w:pPr>
      <w:r>
        <w:t>Practical checks to avoid greenwashing and opportunism</w:t>
      </w:r>
      <w:r/>
    </w:p>
    <w:p>
      <w:r/>
      <w:r>
        <w:t>Words are cheap; look for concrete evidence. Review published employee benefits, nondiscrimination clauses, supplier diversity programmes, and political spending disclosures. Watch how a company responds in crises, do they defend protections or stay silent? Also check third-party audits and whether the business maintains year-on-year improvements in inclusion scores. If you shop funds, examine methodology documents to see how they pick and weight holdings.</w:t>
      </w:r>
      <w:r/>
    </w:p>
    <w:p>
      <w:pPr>
        <w:pStyle w:val="Heading2"/>
      </w:pPr>
      <w:r>
        <w:t>How to get started this week</w:t>
      </w:r>
      <w:r/>
    </w:p>
    <w:p>
      <w:r/>
      <w:r>
        <w:t>Begin with a conversation: your financial adviser can map values to investment vehicles, stocks, mutual funds, ETFs or separately managed accounts. Use the CEI and reputable ESG research to shortlist names, then check corporate filings and public statements for consistency. If you prefer hands-off, search for funds that explicitly use LGBTQ inclusion as a criterion and read their prospectuses for details.</w:t>
      </w:r>
      <w:r/>
    </w:p>
    <w:p>
      <w:r/>
      <w:r>
        <w:t>It's a small change that can make your investments feel more like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2">
        <w:r>
          <w:rPr>
            <w:color w:val="0000EE"/>
            <w:u w:val="single"/>
          </w:rPr>
          <w:t>[3]</w:t>
        </w:r>
      </w:hyperlink>
      <w:r>
        <w:t xml:space="preserve">- Paragraph 4: </w:t>
      </w:r>
      <w:hyperlink r:id="rId14">
        <w:r>
          <w:rPr>
            <w:color w:val="0000EE"/>
            <w:u w:val="single"/>
          </w:rPr>
          <w:t>[5]</w:t>
        </w:r>
      </w:hyperlink>
      <w:r>
        <w:t xml:space="preserve">, </w:t>
      </w:r>
      <w:hyperlink r:id="rId12">
        <w:r>
          <w:rPr>
            <w:color w:val="0000EE"/>
            <w:u w:val="single"/>
          </w:rPr>
          <w:t>[3]</w:t>
        </w:r>
      </w:hyperlink>
      <w:r>
        <w:t xml:space="preserve">- Paragraph 5: </w:t>
      </w:r>
      <w:hyperlink r:id="rId12">
        <w:r>
          <w:rPr>
            <w:color w:val="0000EE"/>
            <w:u w:val="single"/>
          </w:rPr>
          <w:t>[3]</w:t>
        </w:r>
      </w:hyperlink>
      <w:r>
        <w:t xml:space="preserve">, </w:t>
      </w:r>
      <w:hyperlink r:id="rId13">
        <w:r>
          <w:rPr>
            <w:color w:val="0000EE"/>
            <w:u w:val="single"/>
          </w:rPr>
          <w:t>[4]</w:t>
        </w:r>
      </w:hyperlink>
      <w:r>
        <w:t xml:space="preserve">- Paragraph 6: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https://www.consumerscu.org/blog/how-to-invest-in-lgbtq-friendly-companies</w:t>
        </w:r>
      </w:hyperlink>
      <w:r>
        <w:t xml:space="preserve"> - Please view link - unable to able to access data</w:t>
      </w:r>
      <w:r/>
    </w:p>
    <w:p>
      <w:pPr>
        <w:pStyle w:val="ListNumber"/>
        <w:spacing w:line="240" w:lineRule="auto"/>
        <w:ind w:left="720"/>
      </w:pPr>
      <w:r/>
      <w:hyperlink r:id="rId10">
        <w:r>
          <w:rPr>
            <w:color w:val="0000EE"/>
            <w:u w:val="single"/>
          </w:rPr>
          <w:t>https://www.law.cornell.edu/gender-justice/resource/Obergefell_v_Hodges</w:t>
        </w:r>
      </w:hyperlink>
      <w:r>
        <w:t xml:space="preserve"> - The Legal Information Institute provides a comprehensive overview of the Supreme Court case Obergefell v. Hodges, 576 U.S. 644 (2015). The case held that under the Fourteenth Amendment, states must both license marriages between two people of the same sex and recognize same-sex marriages legally performed in other states. Justice Kennedy's majority opinion concluded that marriage is a fundamental right protected by the Due Process and Equal Protection Clauses, and that excluding same-sex couples imposes stigma, denies them dignity, and burdens their children.</w:t>
      </w:r>
      <w:r/>
    </w:p>
    <w:p>
      <w:pPr>
        <w:pStyle w:val="ListNumber"/>
        <w:spacing w:line="240" w:lineRule="auto"/>
        <w:ind w:left="720"/>
      </w:pPr>
      <w:r/>
      <w:hyperlink r:id="rId12">
        <w:r>
          <w:rPr>
            <w:color w:val="0000EE"/>
            <w:u w:val="single"/>
          </w:rPr>
          <w:t>https://www.nerdwallet.com/investing/learn/socially-responsible-investing</w:t>
        </w:r>
      </w:hyperlink>
      <w:r>
        <w:t xml:space="preserve"> - NerdWallet explains Socially Responsible Investing (SRI), an investment strategy that aims to generate both social change and financial returns for investors. SRI involves selecting investments based on whether a company's revenue sources and business practices align with the investor's values, often using environmental, social, and governance (ESG) criteria. This approach allows investors to support companies making a positive sustainable or social impact while excluding those with negative impacts.</w:t>
      </w:r>
      <w:r/>
    </w:p>
    <w:p>
      <w:pPr>
        <w:pStyle w:val="ListNumber"/>
        <w:spacing w:line="240" w:lineRule="auto"/>
        <w:ind w:left="720"/>
      </w:pPr>
      <w:r/>
      <w:hyperlink r:id="rId13">
        <w:r>
          <w:rPr>
            <w:color w:val="0000EE"/>
            <w:u w:val="single"/>
          </w:rPr>
          <w:t>https://www.law.cornell.edu/wex/obergefell_v_hodges</w:t>
        </w:r>
      </w:hyperlink>
      <w:r>
        <w:t xml:space="preserve"> - The Legal Information Institute's Wex entry on Obergefell v. Hodges provides detailed information about the Supreme Court decision issued on June 26, 2015. The Court held that the Fourteenth Amendment's Due Process and Equal Protection Clauses guarantee same-sex couples the right to marry in all states and require states to recognize same-sex marriages performed in other states. Justice Anthony Kennedy delivered the opinion of the Court, joined by Justices Ginsburg, Breyer, Sotomayor, and Kagan.</w:t>
      </w:r>
      <w:r/>
    </w:p>
    <w:p>
      <w:pPr>
        <w:pStyle w:val="ListNumber"/>
        <w:spacing w:line="240" w:lineRule="auto"/>
        <w:ind w:left="720"/>
      </w:pPr>
      <w:r/>
      <w:hyperlink r:id="rId14">
        <w:r>
          <w:rPr>
            <w:color w:val="0000EE"/>
            <w:u w:val="single"/>
          </w:rPr>
          <w:t>https://www.faegredrinker.com/en/insights/publications/2015/6/supreme-court-decides-obergefell-v-hodges</w:t>
        </w:r>
      </w:hyperlink>
      <w:r>
        <w:t xml:space="preserve"> - Faegre Drinker Biddle &amp; Reath LLP discusses the Supreme Court's decision in Obergefell v. Hodges, No. 14-556, issued on June 26, 2015. The Court held that the Fourteenth Amendment's Due Process and Equal Protection Clauses guarantee same-sex couples the right to marry in all states and require states to recognize same-sex marriages performed in other states. The article provides an overview of the case and its implications for same-sex marriage rights in the United States.</w:t>
      </w:r>
      <w:r/>
    </w:p>
    <w:p>
      <w:pPr>
        <w:pStyle w:val="ListNumber"/>
        <w:spacing w:line="240" w:lineRule="auto"/>
        <w:ind w:left="720"/>
      </w:pPr>
      <w:r/>
      <w:hyperlink r:id="rId15">
        <w:r>
          <w:rPr>
            <w:color w:val="0000EE"/>
            <w:u w:val="single"/>
          </w:rPr>
          <w:t>https://www.supremecourt.gov/search.aspx?Search=obergefell+v+hodges+2015</w:t>
        </w:r>
      </w:hyperlink>
      <w:r>
        <w:t xml:space="preserve"> - The official Supreme Court website provides search results for 'Obergefell v. Hodges 2015', including case information, oral arguments, and related documents. The case, decided on June 26, 2015, held that the Fourteenth Amendment requires all states to grant same-sex marriages and recognize same-sex marriages granted in other states. The search results include links to the case docket, opinions, and other related materials.</w:t>
      </w:r>
      <w:r/>
    </w:p>
    <w:p>
      <w:pPr>
        <w:pStyle w:val="ListNumber"/>
        <w:spacing w:line="240" w:lineRule="auto"/>
        <w:ind w:left="720"/>
      </w:pPr>
      <w:r/>
      <w:hyperlink r:id="rId11">
        <w:r>
          <w:rPr>
            <w:color w:val="0000EE"/>
            <w:u w:val="single"/>
          </w:rPr>
          <w:t>https://constitutioncenter.org/the-constitution/supreme-court-case-library/obergefell-v-hodges</w:t>
        </w:r>
      </w:hyperlink>
      <w:r>
        <w:t xml:space="preserve"> - The National Constitution Center offers a detailed overview of the Supreme Court case Obergefell v. Hodges (2015). The case addressed whether the Fourteenth Amendment requires states to license and recognize same-sex marriages. The Court held that the Fourteenth Amendment's Due Process and Equal Protection Clauses guarantee same-sex couples the right to marry in all states and require states to recognize same-sex marriages performed in other states. The article provides insights into the case's background, arguments, and implications for same-sex marriage rights in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nsumerscu.org/blog/how-to-invest-in-lgbtq-friendly-companies" TargetMode="External"/><Relationship Id="rId10" Type="http://schemas.openxmlformats.org/officeDocument/2006/relationships/hyperlink" Target="https://www.law.cornell.edu/gender-justice/resource/Obergefell_v_Hodges" TargetMode="External"/><Relationship Id="rId11" Type="http://schemas.openxmlformats.org/officeDocument/2006/relationships/hyperlink" Target="https://constitutioncenter.org/the-constitution/supreme-court-case-library/obergefell-v-hodges" TargetMode="External"/><Relationship Id="rId12" Type="http://schemas.openxmlformats.org/officeDocument/2006/relationships/hyperlink" Target="https://www.nerdwallet.com/investing/learn/socially-responsible-investing" TargetMode="External"/><Relationship Id="rId13" Type="http://schemas.openxmlformats.org/officeDocument/2006/relationships/hyperlink" Target="https://www.law.cornell.edu/wex/obergefell_v_hodges" TargetMode="External"/><Relationship Id="rId14" Type="http://schemas.openxmlformats.org/officeDocument/2006/relationships/hyperlink" Target="https://www.faegredrinker.com/en/insights/publications/2015/6/supreme-court-decides-obergefell-v-hodges" TargetMode="External"/><Relationship Id="rId15" Type="http://schemas.openxmlformats.org/officeDocument/2006/relationships/hyperlink" Target="https://www.supremecourt.gov/search.aspx?Search=obergefell+v+hodges+20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