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Meth Recovery Path for Gay Men: Practical Steps and Real Hope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tailored recovery that understands chemsex, PNP and gay social worlds; this guide explains the physical, emotional and social timeline of leaving crystal meth and offers practical steps for anyone ready to change their scene and rebuild pleasure, sleep and connection.</w:t>
      </w:r>
      <w:r/>
    </w:p>
    <w:p>
      <w:r/>
      <w:r>
        <w:t>Essential Takeaways</w:t>
      </w:r>
      <w:r/>
      <w:r/>
    </w:p>
    <w:p>
      <w:pPr>
        <w:pStyle w:val="ListBullet"/>
        <w:spacing w:line="240" w:lineRule="auto"/>
        <w:ind w:left="720"/>
      </w:pPr>
      <w:r/>
      <w:r>
        <w:rPr>
          <w:b/>
        </w:rPr>
        <w:t>First-week realities:</w:t>
      </w:r>
      <w:r>
        <w:t xml:space="preserve"> heavy sleep, exhaustion and anxiety are common as the body resets; medical support eases the comedown.</w:t>
      </w:r>
      <w:r/>
    </w:p>
    <w:p>
      <w:pPr>
        <w:pStyle w:val="ListBullet"/>
        <w:spacing w:line="240" w:lineRule="auto"/>
        <w:ind w:left="720"/>
      </w:pPr>
      <w:r/>
      <w:r>
        <w:rPr>
          <w:b/>
        </w:rPr>
        <w:t>Emotional slump:</w:t>
      </w:r>
      <w:r>
        <w:t xml:space="preserve"> anhedonia often peaks in months 2–3, making sober life feel flat and relapse risk higher.</w:t>
      </w:r>
      <w:r/>
    </w:p>
    <w:p>
      <w:pPr>
        <w:pStyle w:val="ListBullet"/>
        <w:spacing w:line="240" w:lineRule="auto"/>
        <w:ind w:left="720"/>
      </w:pPr>
      <w:r/>
      <w:r>
        <w:rPr>
          <w:b/>
        </w:rPr>
        <w:t>Practical separation:</w:t>
      </w:r>
      <w:r>
        <w:t xml:space="preserve"> deleting apps, blocking contacts and avoiding locations are common, protective steps early on.</w:t>
      </w:r>
      <w:r/>
    </w:p>
    <w:p>
      <w:pPr>
        <w:pStyle w:val="ListBullet"/>
        <w:spacing w:line="240" w:lineRule="auto"/>
        <w:ind w:left="720"/>
      </w:pPr>
      <w:r/>
      <w:r>
        <w:rPr>
          <w:b/>
        </w:rPr>
        <w:t>Social rebuild:</w:t>
      </w:r>
      <w:r>
        <w:t xml:space="preserve"> sober gay community, CMA meetings and queer recovery networks can restore belonging and intimacy.</w:t>
      </w:r>
      <w:r/>
    </w:p>
    <w:p>
      <w:pPr>
        <w:pStyle w:val="ListBullet"/>
        <w:spacing w:line="240" w:lineRule="auto"/>
        <w:ind w:left="720"/>
      </w:pPr>
      <w:r/>
      <w:r>
        <w:rPr>
          <w:b/>
        </w:rPr>
        <w:t>Timeline of return:</w:t>
      </w:r>
      <w:r>
        <w:t xml:space="preserve"> pleasure often begins returning around months 4–6, with identity and stability strengthening over a year.</w:t>
      </w:r>
      <w:r/>
      <w:r/>
    </w:p>
    <w:p>
      <w:pPr>
        <w:pStyle w:val="Heading2"/>
      </w:pPr>
      <w:r>
        <w:t>Why recovery must treat sex, apps and identity together</w:t>
      </w:r>
      <w:r/>
    </w:p>
    <w:p>
      <w:r/>
      <w:r>
        <w:t>The hardest thing about leaving crystal meth for many gay men isn’t the drug alone, it’s what the drug came with: sex, apps, nightlife and a version of yourself that felt confident and connected. Research into stimulant use and sexualised drug scenes shows that motivations often include social connection, coping and seeking sexual confidence, so stopping can feel like losing more than a habit. Treatment that recognises chemsex and PNP realities addresses both substance effects and the social routines that sustain them. If you’re thinking it through, treat practical separation, uninstalling apps, changing routes home, stepping back from friend groups, as part of the clinical plan, not drama.</w:t>
      </w:r>
      <w:r/>
    </w:p>
    <w:p>
      <w:r/>
      <w:r>
        <w:t xml:space="preserve">Sources by paragraph: </w:t>
      </w:r>
      <w:hyperlink r:id="rId9">
        <w:r>
          <w:rPr>
            <w:color w:val="0000EE"/>
            <w:u w:val="single"/>
          </w:rPr>
          <w:t>[2]</w:t>
        </w:r>
      </w:hyperlink>
      <w:r>
        <w:t xml:space="preserve">, </w:t>
      </w:r>
      <w:hyperlink r:id="rId10">
        <w:r>
          <w:rPr>
            <w:color w:val="0000EE"/>
            <w:u w:val="single"/>
          </w:rPr>
          <w:t>[4]</w:t>
        </w:r>
      </w:hyperlink>
      <w:r/>
    </w:p>
    <w:p>
      <w:pPr>
        <w:pStyle w:val="Heading2"/>
      </w:pPr>
      <w:r>
        <w:t>What the first week actually looks like: sleep, anxiety, and safety</w:t>
      </w:r>
      <w:r/>
    </w:p>
    <w:p>
      <w:r/>
      <w:r>
        <w:t>Expect heavy sleep, intense tiredness and sudden anxiety in the early days. People who’ve used meth in long binges often sleep a lot for several days, then wake up hungry, irritable and emotionally raw. Medical detox can provide structure, monitoring mood, hydration and sleep so the comedown doesn’t become a trigger for returning to use. According to clinical literature on stimulant withdrawal, supervised care reduces risk and helps stabilise mood while the body recalibrates. If you can, plan the first week with someone who knows the timeline so you don’t try to tough it out alone.</w:t>
      </w:r>
      <w:r/>
    </w:p>
    <w:p>
      <w:r/>
      <w:r>
        <w:t xml:space="preserve">Sources by paragraph: </w:t>
      </w:r>
      <w:hyperlink r:id="rId11">
        <w:r>
          <w:rPr>
            <w:color w:val="0000EE"/>
            <w:u w:val="single"/>
          </w:rPr>
          <w:t>[3]</w:t>
        </w:r>
      </w:hyperlink>
      <w:r>
        <w:t xml:space="preserve">, </w:t>
      </w:r>
      <w:hyperlink r:id="rId12">
        <w:r>
          <w:rPr>
            <w:color w:val="0000EE"/>
            <w:u w:val="single"/>
          </w:rPr>
          <w:t>[6]</w:t>
        </w:r>
      </w:hyperlink>
      <w:r/>
    </w:p>
    <w:p>
      <w:pPr>
        <w:pStyle w:val="Heading2"/>
      </w:pPr>
      <w:r>
        <w:t>The grey months: why pleasure feels muted and what helps</w:t>
      </w:r>
      <w:r/>
    </w:p>
    <w:p>
      <w:r/>
      <w:r>
        <w:t>After the immediate crash lifts, many men describe a flatness: sex is less thrilling, music is duller, time feels slow. That reduced pleasure response, anhedonia, is well documented in stimulant recovery and is a major reason relapse happens around months two and three. Clinical studies suggest that consistent routines, exercise, therapy and group supports help the brain’s dopamine system recover. Practically, set small, achievable goals, walks that include music you used to like, short social plans, and sleep hygiene, to give your reward system steady, low-stakes experiences to rebuild on.</w:t>
      </w:r>
      <w:r/>
    </w:p>
    <w:p>
      <w:r/>
      <w:r>
        <w:t xml:space="preserve">Sources by paragraph: </w:t>
      </w:r>
      <w:hyperlink r:id="rId13">
        <w:r>
          <w:rPr>
            <w:color w:val="0000EE"/>
            <w:u w:val="single"/>
          </w:rPr>
          <w:t>[5]</w:t>
        </w:r>
      </w:hyperlink>
      <w:r>
        <w:t xml:space="preserve">, </w:t>
      </w:r>
      <w:hyperlink r:id="rId9">
        <w:r>
          <w:rPr>
            <w:color w:val="0000EE"/>
            <w:u w:val="single"/>
          </w:rPr>
          <w:t>[2]</w:t>
        </w:r>
      </w:hyperlink>
      <w:r/>
    </w:p>
    <w:p>
      <w:pPr>
        <w:pStyle w:val="Heading2"/>
      </w:pPr>
      <w:r>
        <w:t>Practical steps to leave chemsex, PNP and the using scene</w:t>
      </w:r>
      <w:r/>
    </w:p>
    <w:p>
      <w:r/>
      <w:r>
        <w:t>Recovery from chemsex is as much about logistics as willpower. Common protective moves include deleting hookup apps, blocking dealer numbers, leaving group chats and avoiding specific venues or neighbourhoods. Those steps can feel dramatic, but research into relapse triggers shows removing easy access and cues reduces temptation. Some people need a temporary change of scene, staying elsewhere for a while or shifting social routines, to break the cycle. Work with clinicians to create a plan that balances safety with the grief of losing parts of your old life.</w:t>
      </w:r>
      <w:r/>
    </w:p>
    <w:p>
      <w:r/>
      <w:r>
        <w:t xml:space="preserve">Sources by paragraph: </w:t>
      </w:r>
      <w:hyperlink r:id="rId10">
        <w:r>
          <w:rPr>
            <w:color w:val="0000EE"/>
            <w:u w:val="single"/>
          </w:rPr>
          <w:t>[4]</w:t>
        </w:r>
      </w:hyperlink>
      <w:r>
        <w:t xml:space="preserve">, </w:t>
      </w:r>
      <w:hyperlink r:id="rId14">
        <w:r>
          <w:rPr>
            <w:color w:val="0000EE"/>
            <w:u w:val="single"/>
          </w:rPr>
          <w:t>[7]</w:t>
        </w:r>
      </w:hyperlink>
      <w:r/>
    </w:p>
    <w:p>
      <w:pPr>
        <w:pStyle w:val="Heading2"/>
      </w:pPr>
      <w:r>
        <w:t>Rebuilding connection: sober gay community and recovery networks</w:t>
      </w:r>
      <w:r/>
    </w:p>
    <w:p>
      <w:r/>
      <w:r>
        <w:t>People emerging from meth use often worry sober life will be smaller or lonelier, but many find chosen family in queer recovery networks, sober Pride events and meetings like CMA. Community-led supports and LGBTQ+ friendly groups are crucial because they speak the same cultural language and understand chemsex-specific issues. Coverage of drug-related harms in queer media has also increased visibility and local responses, which makes finding welcoming recovery spaces easier in larger cities. Try a few different groups; the right community tends to feel warm, funny and sex-positive in a different, safer way.</w:t>
      </w:r>
      <w:r/>
    </w:p>
    <w:p>
      <w:r/>
      <w:r>
        <w:t xml:space="preserve">Sources by paragraph: </w:t>
      </w:r>
      <w:hyperlink r:id="rId12">
        <w:r>
          <w:rPr>
            <w:color w:val="0000EE"/>
            <w:u w:val="single"/>
          </w:rPr>
          <w:t>[6]</w:t>
        </w:r>
      </w:hyperlink>
      <w:r>
        <w:t xml:space="preserve">, </w:t>
      </w:r>
      <w:hyperlink r:id="rId11">
        <w:r>
          <w:rPr>
            <w:color w:val="0000EE"/>
            <w:u w:val="single"/>
          </w:rPr>
          <w:t>[3]</w:t>
        </w:r>
      </w:hyperlink>
      <w:r/>
    </w:p>
    <w:p>
      <w:pPr>
        <w:pStyle w:val="Heading2"/>
      </w:pPr>
      <w:r>
        <w:t>When hope returns: timelines and lived experience</w:t>
      </w:r>
      <w:r/>
    </w:p>
    <w:p>
      <w:r/>
      <w:r>
        <w:t>Recovery timelines vary, but many people report meaningful change by month four to six, things start to feel livelier again, and deeper stability often appears in the second year. Firsthand accounts from treatment professionals and those in recovery stress patience: the grey period can feel hopeless, but pleasure and confidence usually come back with consistent support. If you’re considering treatment, a confidential clinical assessment can map detox, residential or outpatient options and help you pick a pathway that protects your safety and social needs.</w:t>
      </w:r>
      <w:r/>
    </w:p>
    <w:p>
      <w:r/>
      <w:r>
        <w:t xml:space="preserve">Sources by paragraph: </w:t>
      </w:r>
      <w:hyperlink r:id="rId13">
        <w:r>
          <w:rPr>
            <w:color w:val="0000EE"/>
            <w:u w:val="single"/>
          </w:rPr>
          <w:t>[5]</w:t>
        </w:r>
      </w:hyperlink>
      <w:r>
        <w:t xml:space="preserve">, </w:t>
      </w:r>
      <w:hyperlink r:id="rId9">
        <w:r>
          <w:rPr>
            <w:color w:val="0000EE"/>
            <w:u w:val="single"/>
          </w:rPr>
          <w:t>[2]</w:t>
        </w:r>
      </w:hyperlink>
      <w:r/>
    </w:p>
    <w:p>
      <w:r/>
      <w:r>
        <w:t>It's a small change that can make every connection safer and more sustainable.</w:t>
      </w:r>
      <w:r/>
    </w:p>
    <w:p>
      <w:pPr>
        <w:pStyle w:val="Heading3"/>
      </w:pPr>
      <w:r>
        <w:t>Source Reference Map</w:t>
      </w:r>
      <w:r/>
    </w:p>
    <w:p>
      <w:r/>
      <w:r>
        <w:rPr>
          <w:b/>
        </w:rPr>
        <w:t>Story idea inspired by:</w:t>
      </w:r>
      <w:r>
        <w:t xml:space="preserve"> </w:t>
      </w:r>
      <w:hyperlink r:id="rId15">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13">
        <w:r>
          <w:rPr>
            <w:color w:val="0000EE"/>
            <w:u w:val="single"/>
          </w:rPr>
          <w:t>[5]</w:t>
        </w:r>
      </w:hyperlink>
      <w:r>
        <w:t xml:space="preserve">, </w:t>
      </w:r>
      <w:hyperlink r:id="rId9">
        <w:r>
          <w:rPr>
            <w:color w:val="0000EE"/>
            <w:u w:val="single"/>
          </w:rPr>
          <w:t>[2]</w:t>
        </w:r>
      </w:hyperlink>
      <w:r>
        <w:t xml:space="preserve">- Paragraph 4: </w:t>
      </w:r>
      <w:hyperlink r:id="rId10">
        <w:r>
          <w:rPr>
            <w:color w:val="0000EE"/>
            <w:u w:val="single"/>
          </w:rPr>
          <w:t>[4]</w:t>
        </w:r>
      </w:hyperlink>
      <w:r>
        <w:t xml:space="preserve">, </w:t>
      </w:r>
      <w:hyperlink r:id="rId14">
        <w:r>
          <w:rPr>
            <w:color w:val="0000EE"/>
            <w:u w:val="single"/>
          </w:rPr>
          <w:t>[7]</w:t>
        </w:r>
      </w:hyperlink>
      <w:r>
        <w:t xml:space="preserve">- Paragraph 5: </w:t>
      </w:r>
      <w:hyperlink r:id="rId12">
        <w:r>
          <w:rPr>
            <w:color w:val="0000EE"/>
            <w:u w:val="single"/>
          </w:rPr>
          <w:t>[6]</w:t>
        </w:r>
      </w:hyperlink>
      <w:r>
        <w:t xml:space="preserve">, </w:t>
      </w:r>
      <w:hyperlink r:id="rId11">
        <w:r>
          <w:rPr>
            <w:color w:val="0000EE"/>
            <w:u w:val="single"/>
          </w:rPr>
          <w:t>[3]</w:t>
        </w:r>
      </w:hyperlink>
      <w:r>
        <w:t xml:space="preserve">- Paragraph 6: </w:t>
      </w:r>
      <w:hyperlink r:id="rId13">
        <w:r>
          <w:rPr>
            <w:color w:val="0000EE"/>
            <w:u w:val="single"/>
          </w:rPr>
          <w:t>[5]</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15">
        <w:r>
          <w:rPr>
            <w:color w:val="0000EE"/>
            <w:u w:val="single"/>
          </w:rPr>
          <w:t>https://nomatterwhatrecovery.com/meth-gay-community-specific-risks-recovery-path-actually-works/</w:t>
        </w:r>
      </w:hyperlink>
      <w:r>
        <w:t xml:space="preserve"> - Please view link - unable to able to access data</w:t>
      </w:r>
      <w:r/>
    </w:p>
    <w:p>
      <w:pPr>
        <w:pStyle w:val="ListNumber"/>
        <w:spacing w:line="240" w:lineRule="auto"/>
        <w:ind w:left="720"/>
      </w:pPr>
      <w:r/>
      <w:hyperlink r:id="rId9">
        <w:r>
          <w:rPr>
            <w:color w:val="0000EE"/>
            <w:u w:val="single"/>
          </w:rPr>
          <w:t>https://pubmed.ncbi.nlm.nih.gov/38061224/</w:t>
        </w:r>
      </w:hyperlink>
      <w:r>
        <w:t xml:space="preserve"> - A systematic review and meta-analysis published in January 2024 estimated the prevalence of methamphetamine use among gay, bisexual, and other men who have sex with men (MSM). The study found that 15% of MSM reported recent use, and 23% reported lifetime use. The authors highlighted the need for targeted interventions and harm reduction strategies to address the multifaceted challenges of methamphetamine use in this population.</w:t>
      </w:r>
      <w:r/>
    </w:p>
    <w:p>
      <w:pPr>
        <w:pStyle w:val="ListNumber"/>
        <w:spacing w:line="240" w:lineRule="auto"/>
        <w:ind w:left="720"/>
      </w:pPr>
      <w:r/>
      <w:hyperlink r:id="rId11">
        <w:r>
          <w:rPr>
            <w:color w:val="0000EE"/>
            <w:u w:val="single"/>
          </w:rPr>
          <w:t>https://pmc.ncbi.nlm.nih.gov/articles/PMC1993847/</w:t>
        </w:r>
      </w:hyperlink>
      <w:r>
        <w:t xml:space="preserve"> - An exploratory study published in 2003 examined methamphetamine use among gay and bisexual men in New York City. The research found that methamphetamine use was associated with various motivations, including enhancing sexual experiences, socialising in party settings, and altering emotional states. The study emphasised the complex interplay between mental health, drug use, and sexual risk-taking behaviours in this demographic.</w:t>
      </w:r>
      <w:r/>
    </w:p>
    <w:p>
      <w:pPr>
        <w:pStyle w:val="ListNumber"/>
        <w:spacing w:line="240" w:lineRule="auto"/>
        <w:ind w:left="720"/>
      </w:pPr>
      <w:r/>
      <w:hyperlink r:id="rId10">
        <w:r>
          <w:rPr>
            <w:color w:val="0000EE"/>
            <w:u w:val="single"/>
          </w:rPr>
          <w:t>https://pmc.ncbi.nlm.nih.gov/articles/PMC8444233/</w:t>
        </w:r>
      </w:hyperlink>
      <w:r>
        <w:t xml:space="preserve"> - A study published in 2004 investigated factors influencing methamphetamine use among gay and bisexual men. The research identified a desire to heighten sexual sensations and to overcome negative emotions as primary drivers. The authors suggested that interventions should address the synergy between methamphetamine use and sexual risk-taking, considering the mental health challenges heightened by experiences of stigmatization within a heterosexist culture.</w:t>
      </w:r>
      <w:r/>
    </w:p>
    <w:p>
      <w:pPr>
        <w:pStyle w:val="ListNumber"/>
        <w:spacing w:line="240" w:lineRule="auto"/>
        <w:ind w:left="720"/>
      </w:pPr>
      <w:r/>
      <w:hyperlink r:id="rId13">
        <w:r>
          <w:rPr>
            <w:color w:val="0000EE"/>
            <w:u w:val="single"/>
          </w:rPr>
          <w:t>https://pubmed.ncbi.nlm.nih.gov/16835463/</w:t>
        </w:r>
      </w:hyperlink>
      <w:r>
        <w:t xml:space="preserve"> - A review article from 2006 estimated that methamphetamine use was 5- to 10-times more common among urban gay and bisexual men compared to the general US population. The review highlighted the significant public health concern posed by this elevated prevalence and the associated risks, including HIV transmission and other health complications.</w:t>
      </w:r>
      <w:r/>
    </w:p>
    <w:p>
      <w:pPr>
        <w:pStyle w:val="ListNumber"/>
        <w:spacing w:line="240" w:lineRule="auto"/>
        <w:ind w:left="720"/>
      </w:pPr>
      <w:r/>
      <w:hyperlink r:id="rId12">
        <w:r>
          <w:rPr>
            <w:color w:val="0000EE"/>
            <w:u w:val="single"/>
          </w:rPr>
          <w:t>https://pmc.ncbi.nlm.nih.gov/articles/PMC2587649/</w:t>
        </w:r>
      </w:hyperlink>
      <w:r>
        <w:t xml:space="preserve"> - A study published in 2008 examined methamphetamine use trends among street-recruited gay and bisexual men from 1999 to 2007. The research found that methamphetamine use was prevalent in urban gay and bisexual communities, with factors such as availability, low cost, and disinhibiting effects on sexual behaviours contributing to its popularity. The study underscored the need for targeted public health interventions to address this issue.</w:t>
      </w:r>
      <w:r/>
    </w:p>
    <w:p>
      <w:pPr>
        <w:pStyle w:val="ListNumber"/>
        <w:spacing w:line="240" w:lineRule="auto"/>
        <w:ind w:left="720"/>
      </w:pPr>
      <w:r/>
      <w:hyperlink r:id="rId14">
        <w:r>
          <w:rPr>
            <w:color w:val="0000EE"/>
            <w:u w:val="single"/>
          </w:rPr>
          <w:t>https://journals.sagepub.com/doi/10.1177/002204260303300207</w:t>
        </w:r>
      </w:hyperlink>
      <w:r>
        <w:t xml:space="preserve"> - An exploratory study published in 2003 investigated contextual and situational factors related to methamphetamine use among gay and bisexual men in New York City. The research found that methamphetamine use was associated with social settings like bathhouses and bars, and was linked to coping mechanisms for unpleasant emotions and social conflicts. The study highlighted the complex interplay between social environments and substance use in this population.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ubmed.ncbi.nlm.nih.gov/38061224/" TargetMode="External"/><Relationship Id="rId10" Type="http://schemas.openxmlformats.org/officeDocument/2006/relationships/hyperlink" Target="https://pmc.ncbi.nlm.nih.gov/articles/PMC8444233/" TargetMode="External"/><Relationship Id="rId11" Type="http://schemas.openxmlformats.org/officeDocument/2006/relationships/hyperlink" Target="https://pmc.ncbi.nlm.nih.gov/articles/PMC1993847/" TargetMode="External"/><Relationship Id="rId12" Type="http://schemas.openxmlformats.org/officeDocument/2006/relationships/hyperlink" Target="https://pmc.ncbi.nlm.nih.gov/articles/PMC2587649/" TargetMode="External"/><Relationship Id="rId13" Type="http://schemas.openxmlformats.org/officeDocument/2006/relationships/hyperlink" Target="https://pubmed.ncbi.nlm.nih.gov/16835463/" TargetMode="External"/><Relationship Id="rId14" Type="http://schemas.openxmlformats.org/officeDocument/2006/relationships/hyperlink" Target="https://journals.sagepub.com/doi/10.1177/002204260303300207" TargetMode="External"/><Relationship Id="rId15" Type="http://schemas.openxmlformats.org/officeDocument/2006/relationships/hyperlink" Target="https://nomatterwhatrecovery.com/meth-gay-community-specific-risks-recovery-path-actually-wor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