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Practices for Protecting People Living with HIV Online: Practical Tips and Policy Moves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stronger cyber hygiene: as health and social services move online, UNAIDS is pressing for digital privacy that doesn’t leave people behind , especially those living with HIV, LGBTQI communities, sex workers and people who use drugs. Here’s what’s changed, why it matters and how organisations can keep clients safe.</w:t>
      </w:r>
      <w:r/>
    </w:p>
    <w:p>
      <w:r/>
      <w:r>
        <w:t>Essential Takeaways</w:t>
      </w:r>
      <w:r/>
      <w:r/>
    </w:p>
    <w:p>
      <w:pPr>
        <w:pStyle w:val="ListBullet"/>
        <w:spacing w:line="240" w:lineRule="auto"/>
        <w:ind w:left="720"/>
      </w:pPr>
      <w:r/>
      <w:r>
        <w:rPr>
          <w:b/>
        </w:rPr>
        <w:t>Digital leap:</w:t>
      </w:r>
      <w:r>
        <w:t xml:space="preserve"> COVID‑19 pushed HIV services online quickly, revealing gaps in access and skills for many people.</w:t>
      </w:r>
      <w:r/>
    </w:p>
    <w:p>
      <w:pPr>
        <w:pStyle w:val="ListBullet"/>
        <w:spacing w:line="240" w:lineRule="auto"/>
        <w:ind w:left="720"/>
      </w:pPr>
      <w:r/>
      <w:r>
        <w:rPr>
          <w:b/>
        </w:rPr>
        <w:t>Concrete threats:</w:t>
      </w:r>
      <w:r>
        <w:t xml:space="preserve"> Cyberattacks, phishing and fake profiles have moved from theoretical risks to real harms for activists and organisations.</w:t>
      </w:r>
      <w:r/>
    </w:p>
    <w:p>
      <w:pPr>
        <w:pStyle w:val="ListBullet"/>
        <w:spacing w:line="240" w:lineRule="auto"/>
        <w:ind w:left="720"/>
      </w:pPr>
      <w:r/>
      <w:r>
        <w:rPr>
          <w:b/>
        </w:rPr>
        <w:t>Privacy can be life‑or‑death:</w:t>
      </w:r>
      <w:r>
        <w:t xml:space="preserve"> Leaked records or a chatbot notification can expose someone to stigma, blackmail or arrest in hostile settings.</w:t>
      </w:r>
      <w:r/>
    </w:p>
    <w:p>
      <w:pPr>
        <w:pStyle w:val="ListBullet"/>
        <w:spacing w:line="240" w:lineRule="auto"/>
        <w:ind w:left="720"/>
      </w:pPr>
      <w:r/>
      <w:r>
        <w:rPr>
          <w:b/>
        </w:rPr>
        <w:t>Community solutions work:</w:t>
      </w:r>
      <w:r>
        <w:t xml:space="preserve"> UNAIDS backs tools built by and for communities, plus regular security reviews and dedicated budgets.</w:t>
      </w:r>
      <w:r/>
    </w:p>
    <w:p>
      <w:pPr>
        <w:pStyle w:val="ListBullet"/>
        <w:spacing w:line="240" w:lineRule="auto"/>
        <w:ind w:left="720"/>
      </w:pPr>
      <w:r/>
      <w:r>
        <w:rPr>
          <w:b/>
        </w:rPr>
        <w:t>Practical musts:</w:t>
      </w:r>
      <w:r>
        <w:t xml:space="preserve"> Use secure devices, update protocols, train staff and secure legal support to reduce risk.</w:t>
      </w:r>
      <w:r/>
      <w:r/>
    </w:p>
    <w:p>
      <w:pPr>
        <w:pStyle w:val="Heading2"/>
      </w:pPr>
      <w:r>
        <w:t>Why the pandemic made digital security urgent</w:t>
      </w:r>
      <w:r/>
    </w:p>
    <w:p>
      <w:r/>
      <w:r>
        <w:t>Lockdowns forced clinics and support groups to offer testing, counselling and medication guidance online, and that sudden shift made a few things painfully obvious: connectivity varies, devices are shared and assumptions about access don’t hold up. According to UNAIDS, some patients in Zimbabwe could only reach services via social apps on capped data plans, while others in Kazakhstan needed help just to get QR codes for entry to clinics. That mismatch turned convenience into a barrier for the most vulnerable and showed how quickly privacy risks escalate when services go digital.</w:t>
      </w:r>
      <w:r/>
    </w:p>
    <w:p>
      <w:r/>
      <w:r>
        <w:t>Practical tip: map the ways people access services before moving them online , SMS and low‑data options often work better than full websites for many users.</w:t>
      </w:r>
      <w:r/>
    </w:p>
    <w:p>
      <w:pPr>
        <w:pStyle w:val="Heading2"/>
      </w:pPr>
      <w:r>
        <w:t>When theoretical risks became real attacks</w:t>
      </w:r>
      <w:r/>
    </w:p>
    <w:p>
      <w:r/>
      <w:r>
        <w:t>Organisations that once treated cyberthreats as hypothetical are now responding to repeated intrusions. A 2025 survey of LGBTI groups found cyberattacks were common, and UNAIDS teams have documented fake dating profiles, unlawful phone searches and disinformation campaigns. In one troubling case from Central Asia, hacked contact lists and exposed office addresses led to blackmail and closure. The takeaway is simple: digital violence is an extension of real‑world harm, and community groups need resilience, not just awareness.</w:t>
      </w:r>
      <w:r/>
    </w:p>
    <w:p>
      <w:r/>
      <w:r>
        <w:t>Practical tip: start with basic protections , enforce strong passwords, enable two‑factor authentication and run phishing drills with staff and volunteers.</w:t>
      </w:r>
      <w:r/>
    </w:p>
    <w:p>
      <w:pPr>
        <w:pStyle w:val="Heading2"/>
      </w:pPr>
      <w:r>
        <w:t>Why data breaches can literally cost lives</w:t>
      </w:r>
      <w:r/>
    </w:p>
    <w:p>
      <w:r/>
      <w:r>
        <w:t>In places where same‑sex relationships, sex work or drug use are criminalised, a leaked record isn't just embarrassing , it's dangerous. Even a seemingly mundane chatbot question about medication side effects can reveal someone’s status. Shared phones make accidental disclosure more likely, too: browsing history, notifications or message previews can out someone to housemates or family. Organisations must treat client data as a high‑risk asset and plan accordingly.</w:t>
      </w:r>
      <w:r/>
    </w:p>
    <w:p>
      <w:r/>
      <w:r>
        <w:t>Practical tip: configure apps to hide notifications and use ephemeral chat or anonymous hotlines where possible; avoid collecting unnecessary personally identifiable information.</w:t>
      </w:r>
      <w:r/>
    </w:p>
    <w:p>
      <w:pPr>
        <w:pStyle w:val="Heading2"/>
      </w:pPr>
      <w:r>
        <w:t>New tech helps but also introduces fresh risks</w:t>
      </w:r>
      <w:r/>
    </w:p>
    <w:p>
      <w:r/>
      <w:r>
        <w:t>AI, chatbots and automated tools can widen reach and offer discreet support , a Brazilian chatbot, for example, built trust with young trans users who sometimes shared more with it than a counsellor. But advanced tools often come with better security only for well‑funded groups. UNAIDS recommends scaling community‑designed solutions and resisting one‑size‑fits‑all tech that ignores local realities. Funding models need to include ongoing maintenance and secure licences, not just one‑off set‑ups.</w:t>
      </w:r>
      <w:r/>
    </w:p>
    <w:p>
      <w:r/>
      <w:r>
        <w:t>Practical tip: when choosing digital tools, ask vendors about data storage, encryption, access controls and whether the tool supports local anonymisation practices.</w:t>
      </w:r>
      <w:r/>
    </w:p>
    <w:p>
      <w:pPr>
        <w:pStyle w:val="Heading2"/>
      </w:pPr>
      <w:r>
        <w:t>How organisations can build practical defences today</w:t>
      </w:r>
      <w:r/>
    </w:p>
    <w:p>
      <w:r/>
      <w:r>
        <w:t>UNAIDS suggests a combination of policy, practice and pockets of funding: review digital and physical security risks regularly, keep protocols current, secure access to legal counsel and ring‑fence a budget for security measures and device replacement. Training matters , not as a one‑off course but as repeated, scenario‑based preparation. And where possible, support community development of tools that fit local connectivity, language and privacy needs.</w:t>
      </w:r>
      <w:r/>
    </w:p>
    <w:p>
      <w:r/>
      <w:r>
        <w:t>Practical tip: create an incident playbook that covers immediate steps, communication templates and legal contacts , rehearse it annually.</w:t>
      </w:r>
      <w:r/>
    </w:p>
    <w:p>
      <w:r/>
      <w:r>
        <w:t>It's a small change that can make every interaction safer for people who already face so much risk.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https://www.globalissues.org/news/2026/07/27/43686</w:t>
        </w:r>
      </w:hyperlink>
      <w:r>
        <w:t xml:space="preserve"> - Please view link - unable to able to access data</w:t>
      </w:r>
      <w:r/>
    </w:p>
    <w:p>
      <w:pPr>
        <w:pStyle w:val="ListNumber"/>
        <w:spacing w:line="240" w:lineRule="auto"/>
        <w:ind w:left="720"/>
      </w:pPr>
      <w:r/>
      <w:hyperlink r:id="rId9">
        <w:r>
          <w:rPr>
            <w:color w:val="0000EE"/>
            <w:u w:val="single"/>
          </w:rPr>
          <w:t>https://www.globalissues.org/news/2026/07/27/43686</w:t>
        </w:r>
      </w:hyperlink>
      <w:r>
        <w:t xml:space="preserve"> - This article discusses how cyberattacks, data breaches, online harassment, and other forms of technology-facilitated violence are becoming significant obstacles to HIV prevention and treatment. It highlights the importance of protecting people's privacy as health and social services move online, ensuring that digital transformation does not widen existing inequalities. The piece also addresses the digital divide, noting that some individuals lack access to devices, reliable internet, or the skills to get online, which can create greater barriers to HIV services. The article emphasizes the need for systemic solutions to address these challenges.</w:t>
      </w:r>
      <w:r/>
    </w:p>
    <w:p>
      <w:pPr>
        <w:pStyle w:val="ListNumber"/>
        <w:spacing w:line="240" w:lineRule="auto"/>
        <w:ind w:left="720"/>
      </w:pPr>
      <w:r/>
      <w:hyperlink r:id="rId14">
        <w:r>
          <w:rPr>
            <w:color w:val="0000EE"/>
            <w:u w:val="single"/>
          </w:rPr>
          <w:t>https://www.unaids.org/en/resources/documents/2024/04-hiv-human-rights-factsheet-transgender-gender-diverse</w:t>
        </w:r>
      </w:hyperlink>
      <w:r>
        <w:t xml:space="preserve"> - This UNAIDS fact sheet focuses on the human rights issues faced by transgender and other gender-diverse people in the context of HIV. It outlines the latest epidemiology, evidence of the impact of human rights interventions, and international guidelines and recommendations related to this population. The document aims to aid in scaling up interventions to remove societal barriers, highlighting the critical need to address human rights to end inequalities and ultimately end AIDS.</w:t>
      </w:r>
      <w:r/>
    </w:p>
    <w:p>
      <w:pPr>
        <w:pStyle w:val="ListNumber"/>
        <w:spacing w:line="240" w:lineRule="auto"/>
        <w:ind w:left="720"/>
      </w:pPr>
      <w:r/>
      <w:hyperlink r:id="rId10">
        <w:r>
          <w:rPr>
            <w:color w:val="0000EE"/>
            <w:u w:val="single"/>
          </w:rPr>
          <w:t>https://www.undp.org/publications/guidance-rights-based-and-ethical-use-digital-technologies-hiv-and-health-programmes</w:t>
        </w:r>
      </w:hyperlink>
      <w:r>
        <w:t xml:space="preserve"> - This UNDP guidance document outlines key ethical, technical, and human rights considerations for countries adopting digital technologies in HIV and health programmes. It presents a practical checklist and recommendations for governments, private sector companies, and donor agencies to support countries in their decision-making on the adoption of digital technologies in HIV and health programmes, ensuring that these technologies are used in a rights-based and ethical manner.</w:t>
      </w:r>
      <w:r/>
    </w:p>
    <w:p>
      <w:pPr>
        <w:pStyle w:val="ListNumber"/>
        <w:spacing w:line="240" w:lineRule="auto"/>
        <w:ind w:left="720"/>
      </w:pPr>
      <w:r/>
      <w:hyperlink r:id="rId11">
        <w:r>
          <w:rPr>
            <w:color w:val="0000EE"/>
            <w:u w:val="single"/>
          </w:rPr>
          <w:t>https://www.undp.org/publications/cyberviolence-against-people-living-hiv-and-key-populations-opportunities-prevention-and-response</w:t>
        </w:r>
      </w:hyperlink>
      <w:r>
        <w:t xml:space="preserve"> - This UNDP issue brief discusses the increasing prevalence of cyberviolence against people living with HIV and key populations, highlighting its impact on the HIV epidemic. It explores opportunities for prevention and response, emphasizing the need for comprehensive strategies to address this form of violence. The brief is intended for governments, communities, civil society organizations, and other stakeholders engaged in HIV responses that aim to leave no one behind.</w:t>
      </w:r>
      <w:r/>
    </w:p>
    <w:p>
      <w:pPr>
        <w:pStyle w:val="ListNumber"/>
        <w:spacing w:line="240" w:lineRule="auto"/>
        <w:ind w:left="720"/>
      </w:pPr>
      <w:r/>
      <w:hyperlink r:id="rId12">
        <w:r>
          <w:rPr>
            <w:color w:val="0000EE"/>
            <w:u w:val="single"/>
          </w:rPr>
          <w:t>https://www.eurekalert.org/news-releases/1083186</w:t>
        </w:r>
      </w:hyperlink>
      <w:r>
        <w:t xml:space="preserve"> - This news release from the University of Warwick reports on a study warning that marginalized young adults in low- and middle-income countries, including sex workers, gay men, transgender individuals, and those living with HIV, are facing a surge in online abuse. The study highlights how stigma, harassment, digital exclusion, and fear are creating major barriers to accessing essential health information and support online for these groups.</w:t>
      </w:r>
      <w:r/>
    </w:p>
    <w:p>
      <w:pPr>
        <w:pStyle w:val="ListNumber"/>
        <w:spacing w:line="240" w:lineRule="auto"/>
        <w:ind w:left="720"/>
      </w:pPr>
      <w:r/>
      <w:hyperlink r:id="rId13">
        <w:r>
          <w:rPr>
            <w:color w:val="0000EE"/>
            <w:u w:val="single"/>
          </w:rPr>
          <w:t>https://www.unaids.org/en/resources/documents/2025/12/PCB57_Global_AIDS_Strategy_2026-2031_281125_0.pdf</w:t>
        </w:r>
      </w:hyperlink>
      <w:r>
        <w:t xml:space="preserve"> - This UNAIDS document outlines the Global AIDS Strategy for 2026–2031, focusing on the role of digital health and artificial intelligence in the global AIDS response. It discusses the potential of AI and digital health to increase agility, efficiency, equity, and sustainability in the HIV response, while also addressing the challenges of safeguarding rights, community trust, and long-term sustainability.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lobalissues.org/news/2026/07/27/43686" TargetMode="External"/><Relationship Id="rId10" Type="http://schemas.openxmlformats.org/officeDocument/2006/relationships/hyperlink" Target="https://www.undp.org/publications/guidance-rights-based-and-ethical-use-digital-technologies-hiv-and-health-programmes" TargetMode="External"/><Relationship Id="rId11" Type="http://schemas.openxmlformats.org/officeDocument/2006/relationships/hyperlink" Target="https://www.undp.org/publications/cyberviolence-against-people-living-hiv-and-key-populations-opportunities-prevention-and-response" TargetMode="External"/><Relationship Id="rId12" Type="http://schemas.openxmlformats.org/officeDocument/2006/relationships/hyperlink" Target="https://www.eurekalert.org/news-releases/1083186" TargetMode="External"/><Relationship Id="rId13" Type="http://schemas.openxmlformats.org/officeDocument/2006/relationships/hyperlink" Target="https://www.unaids.org/en/resources/documents/2025/12/PCB57_Global_AIDS_Strategy_2026-2031_281125_0.pdf" TargetMode="External"/><Relationship Id="rId14" Type="http://schemas.openxmlformats.org/officeDocument/2006/relationships/hyperlink" Target="https://www.unaids.org/en/resources/documents/2024/04-hiv-human-rights-factsheet-transgender-gender-diver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