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Analysis of the EU’s Largest-Ever Trans Survey: What the Findings Mean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policymakers and activists are paying attention as a major new analysis peels back the experience of trans people across Europe , the largest-ever survey of trans respondents in the EU reveals where life is improving, where it’s not, and what practical changes could make a real difference.</w:t>
      </w:r>
      <w:r/>
    </w:p>
    <w:p>
      <w:r/>
      <w:r>
        <w:t>Essential Takeaways</w:t>
      </w:r>
      <w:r/>
      <w:r/>
    </w:p>
    <w:p>
      <w:pPr>
        <w:pStyle w:val="ListBullet"/>
        <w:spacing w:line="240" w:lineRule="auto"/>
        <w:ind w:left="720"/>
      </w:pPr>
      <w:r/>
      <w:r>
        <w:rPr>
          <w:b/>
        </w:rPr>
        <w:t>Massive dataset:</w:t>
      </w:r>
      <w:r>
        <w:t xml:space="preserve"> The European Union Agency for Fundamental Rights collected responses from 30,627 trans people, the biggest EU‑area sample to date, giving unusually robust insight. </w:t>
      </w:r>
      <w:r/>
    </w:p>
    <w:p>
      <w:pPr>
        <w:pStyle w:val="ListBullet"/>
        <w:spacing w:line="240" w:lineRule="auto"/>
        <w:ind w:left="720"/>
      </w:pPr>
      <w:r/>
      <w:r>
        <w:rPr>
          <w:b/>
        </w:rPr>
        <w:t>Growing non‑binary group:</w:t>
      </w:r>
      <w:r>
        <w:t xml:space="preserve"> About 65.5% of trans respondents identify as non‑binary or gender diverse, reshaping community demographics. </w:t>
      </w:r>
      <w:r/>
    </w:p>
    <w:p>
      <w:pPr>
        <w:pStyle w:val="ListBullet"/>
        <w:spacing w:line="240" w:lineRule="auto"/>
        <w:ind w:left="720"/>
      </w:pPr>
      <w:r/>
      <w:r>
        <w:rPr>
          <w:b/>
        </w:rPr>
        <w:t>Worrying wellbeing gap:</w:t>
      </w:r>
      <w:r>
        <w:t xml:space="preserve"> Trans people report poorer mental health and higher suicidal ideation; younger respondents show lower life satisfaction. </w:t>
      </w:r>
      <w:r/>
    </w:p>
    <w:p>
      <w:pPr>
        <w:pStyle w:val="ListBullet"/>
        <w:spacing w:line="240" w:lineRule="auto"/>
        <w:ind w:left="720"/>
      </w:pPr>
      <w:r/>
      <w:r>
        <w:rPr>
          <w:b/>
        </w:rPr>
        <w:t>Widespread discrimination:</w:t>
      </w:r>
      <w:r>
        <w:t xml:space="preserve"> Trans people face higher social exclusion, online harassment and exposure to conversion practices than cis queer peers. </w:t>
      </w:r>
      <w:r/>
    </w:p>
    <w:p>
      <w:pPr>
        <w:pStyle w:val="ListBullet"/>
        <w:spacing w:line="240" w:lineRule="auto"/>
        <w:ind w:left="720"/>
      </w:pPr>
      <w:r/>
      <w:r>
        <w:rPr>
          <w:b/>
        </w:rPr>
        <w:t>Legal recognition helps:</w:t>
      </w:r>
      <w:r>
        <w:t xml:space="preserve"> Access to legal gender recognition and transition‑related healthcare links to reduced stigma and better outcomes.</w:t>
      </w:r>
      <w:r/>
      <w:r/>
    </w:p>
    <w:p>
      <w:pPr>
        <w:pStyle w:val="Heading2"/>
      </w:pPr>
      <w:r>
        <w:t>A record-breaking sample , why the numbers matter</w:t>
      </w:r>
      <w:r/>
    </w:p>
    <w:p>
      <w:r/>
      <w:r>
        <w:t>The scale of this research gives it real weight; 30,627 trans respondents mean patterns we see are less likely to be statistical noise and more likely to reflect lived reality. According to the FRA’s EU LGBTIQ Survey III, the data cover 30 countries and 31 languages, so it isn’t limited to a handful of capitals. That breadth lets campaigners and policymakers point to hard evidence rather than anecdotes when arguing for change. If you work in advocacy or local services, that robustness makes this analysis a useful tool to justify funding or legal reform.</w:t>
      </w:r>
      <w:r/>
    </w:p>
    <w:p>
      <w:pPr>
        <w:pStyle w:val="Heading2"/>
      </w:pPr>
      <w:r>
        <w:t>Non-binary identities are now central to understanding the community</w:t>
      </w:r>
      <w:r/>
    </w:p>
    <w:p>
      <w:r/>
      <w:r>
        <w:t>One of the most striking findings is that nearly two thirds of trans respondents identify as non‑binary or gender diverse. TGEU’s analysis highlights how the community’s makeup is shifting, which matters for services and language , clinics, employers and support groups that still think in a binary frame will miss the mark. Practically, that means checklists, intake forms and healthcare pathways should be redesigned to be gender‑inclusive rather than assuming binary transitions.</w:t>
      </w:r>
      <w:r/>
    </w:p>
    <w:p>
      <w:pPr>
        <w:pStyle w:val="Heading2"/>
      </w:pPr>
      <w:r>
        <w:t>Mental health and life satisfaction: a worrying gap</w:t>
      </w:r>
      <w:r/>
    </w:p>
    <w:p>
      <w:r/>
      <w:r>
        <w:t>The report underlines a clear wellbeing gap: trans respondents report worse mental health across the board and nearly one in four say they often or always contemplate suicide. Life satisfaction also increases with age, suggesting younger trans people face immediate pressures. For practitioners, that flags the need for targeted, youth‑friendly mental health services, community centres, and crisis support that understand trans experiences. For families and friends, the takeaway is simple but urgent , expectation of affirmation and timely support can be lifesaving.</w:t>
      </w:r>
      <w:r/>
    </w:p>
    <w:p>
      <w:pPr>
        <w:pStyle w:val="Heading2"/>
      </w:pPr>
      <w:r>
        <w:t>Discrimination, harassment and the online threat</w:t>
      </w:r>
      <w:r/>
    </w:p>
    <w:p>
      <w:r/>
      <w:r>
        <w:t>Researchers found trans people experience higher rates of social exclusion and discrimination than cis queer people, with particularly high exposure to online harassment. The analysis also shows that trans people are more likely to be targeted by so‑called conversion practices. Policymakers should take note: online platforms, employers and schools are key battlegrounds. Practical steps include clearer reporting routes on social media, anti‑bullying education in schools, and workplace inclusion policies that explicitly protect trans staff.</w:t>
      </w:r>
      <w:r/>
    </w:p>
    <w:p>
      <w:pPr>
        <w:pStyle w:val="Heading2"/>
      </w:pPr>
      <w:r>
        <w:t>Legal recognition and healthcare access reduce stigma</w:t>
      </w:r>
      <w:r/>
    </w:p>
    <w:p>
      <w:r/>
      <w:r>
        <w:t>TGEU’s work stresses that legal gender recognition and access to gender‑affirming healthcare are linked to lower levels of stigma and discrimination. Where legal pathways exist and are accessible, trans people report better outcomes. That’s a policy lever with measurable effects: simplifying administrative procedures, removing forced medicalisation, and funding transition‑related care can all reduce exclusion and improve mental health. For individuals, this also underlines why campaigning for legal reform is not merely symbolic , it changes daily life.</w:t>
      </w:r>
      <w:r/>
    </w:p>
    <w:p>
      <w:pPr>
        <w:pStyle w:val="Heading2"/>
      </w:pPr>
      <w:r>
        <w:t>Intersectionality: different experiences within the community</w:t>
      </w:r>
      <w:r/>
    </w:p>
    <w:p>
      <w:r/>
      <w:r>
        <w:t>The analysis takes an intersectional view, showing that trans people’s experiences vary by age, race, socioeconomic status and disability. For example, trans women were found to have less employment stability. This complexity matters because a one‑size‑fits‑all approach to services misses those most at risk. Funders and service designers should use the data to target the people most likely to fall through the cracks, whether that means employment programmes for trans women or outreach for disabled trans people.</w:t>
      </w:r>
      <w:r/>
    </w:p>
    <w:p>
      <w:r/>
      <w:r>
        <w:t>It's a small change in approach that can make every policy and support service more effective for real lives.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[2]</w:t>
        </w:r>
      </w:hyperlink>
      <w:r>
        <w:t xml:space="preserve">- Paragraph 2: </w:t>
      </w:r>
      <w:hyperlink r:id="rId11">
        <w:r>
          <w:rPr>
            <w:color w:val="0000EE"/>
            <w:u w:val="single"/>
          </w:rPr>
          <w:t>[2]</w:t>
        </w:r>
      </w:hyperlink>
      <w:r>
        <w:t xml:space="preserve">, </w:t>
      </w:r>
      <w:hyperlink r:id="rId10">
        <w:r>
          <w:rPr>
            <w:color w:val="0000EE"/>
            <w:u w:val="single"/>
          </w:rPr>
          <w:t>[3]</w:t>
        </w:r>
      </w:hyperlink>
      <w:r>
        <w:t xml:space="preserve">- Paragraph 3: </w:t>
      </w:r>
      <w:hyperlink r:id="rId11">
        <w:r>
          <w:rPr>
            <w:color w:val="0000EE"/>
            <w:u w:val="single"/>
          </w:rPr>
          <w:t>[2]</w:t>
        </w:r>
      </w:hyperlink>
      <w:r>
        <w:t xml:space="preserve">, </w:t>
      </w:r>
      <w:hyperlink r:id="rId12">
        <w:r>
          <w:rPr>
            <w:color w:val="0000EE"/>
            <w:u w:val="single"/>
          </w:rPr>
          <w:t>[4]</w:t>
        </w:r>
      </w:hyperlink>
      <w:r>
        <w:t xml:space="preserve">- Paragraph 4: </w:t>
      </w:r>
      <w:hyperlink r:id="rId11">
        <w:r>
          <w:rPr>
            <w:color w:val="0000EE"/>
            <w:u w:val="single"/>
          </w:rPr>
          <w:t>[2]</w:t>
        </w:r>
      </w:hyperlink>
      <w:r>
        <w:t xml:space="preserve">, </w:t>
      </w:r>
      <w:hyperlink r:id="rId10">
        <w:r>
          <w:rPr>
            <w:color w:val="0000EE"/>
            <w:u w:val="single"/>
          </w:rPr>
          <w:t>[3]</w:t>
        </w:r>
      </w:hyperlink>
      <w:r>
        <w:t xml:space="preserve">- Paragraph 5: </w:t>
      </w:r>
      <w:hyperlink r:id="rId11">
        <w:r>
          <w:rPr>
            <w:color w:val="0000EE"/>
            <w:u w:val="single"/>
          </w:rPr>
          <w:t>[2]</w:t>
        </w:r>
      </w:hyperlink>
      <w:r>
        <w:t xml:space="preserve">, </w:t>
      </w:r>
      <w:hyperlink r:id="rId10">
        <w:r>
          <w:rPr>
            <w:color w:val="0000EE"/>
            <w:u w:val="single"/>
          </w:rPr>
          <w:t>[3]</w:t>
        </w:r>
      </w:hyperlink>
      <w:r>
        <w:t xml:space="preserve">- Paragraph 6: </w:t>
      </w:r>
      <w:hyperlink r:id="rId12">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https://gcn.ie/largest-ever-survey-trans-people-eu/</w:t>
        </w:r>
      </w:hyperlink>
      <w:r>
        <w:t xml:space="preserve"> - Please view link - unable to able to access data</w:t>
      </w:r>
      <w:r/>
    </w:p>
    <w:p>
      <w:pPr>
        <w:pStyle w:val="ListNumber"/>
        <w:spacing w:line="240" w:lineRule="auto"/>
        <w:ind w:left="720"/>
      </w:pPr>
      <w:r/>
      <w:hyperlink r:id="rId11">
        <w:r>
          <w:rPr>
            <w:color w:val="0000EE"/>
            <w:u w:val="single"/>
          </w:rPr>
          <w:t>https://www.tgeu.org/tgeu-publishes-trans-human-rights-realities-and-resilience-in-europe/</w:t>
        </w:r>
      </w:hyperlink>
      <w:r>
        <w:t xml:space="preserve"> - TGEU's report analyses the EU LGBTIQ Survey III 2023, highlighting that 65.5% of trans respondents identify as non-binary or gender diverse, marking this as the fastest-growing segment of the trans community. It also reports that life satisfaction increases with age among trans individuals, and that asexuality is notably more common in trans communities, with 16.8% identifying as asexual compared to 3.4% of cis LGBIQ respondents. (</w:t>
      </w:r>
      <w:hyperlink r:id="rId14">
        <w:r>
          <w:rPr>
            <w:color w:val="0000EE"/>
            <w:u w:val="single"/>
          </w:rPr>
          <w:t>tgeu.org</w:t>
        </w:r>
      </w:hyperlink>
      <w:r>
        <w:t>)</w:t>
      </w:r>
      <w:r/>
    </w:p>
    <w:p>
      <w:pPr>
        <w:pStyle w:val="ListNumber"/>
        <w:spacing w:line="240" w:lineRule="auto"/>
        <w:ind w:left="720"/>
      </w:pPr>
      <w:r/>
      <w:hyperlink r:id="rId10">
        <w:r>
          <w:rPr>
            <w:color w:val="0000EE"/>
            <w:u w:val="single"/>
          </w:rPr>
          <w:t>https://fra.europa.eu/fr/publications-and-resources/data-and-maps/2024/eu-lgbtiq-survey-iii</w:t>
        </w:r>
      </w:hyperlink>
      <w:r>
        <w:t xml:space="preserve"> - The EU LGBTIQ Survey III, conducted by the European Union Agency for Fundamental Rights in 2023, is the largest survey of its kind, encompassing 30,627 trans respondents from 30 countries, including EU member states and candidate countries Albania, North Macedonia, and Serbia. The survey covers a wide range of issues, including experiences of discrimination, harassment, and violence, rights awareness, openness about being LGBTIQ, and mental health and wellbeing. (</w:t>
      </w:r>
      <w:hyperlink r:id="rId15">
        <w:r>
          <w:rPr>
            <w:color w:val="0000EE"/>
            <w:u w:val="single"/>
          </w:rPr>
          <w:t>fra.europa.eu</w:t>
        </w:r>
      </w:hyperlink>
      <w:r>
        <w:t>)</w:t>
      </w:r>
      <w:r/>
    </w:p>
    <w:p>
      <w:pPr>
        <w:pStyle w:val="ListNumber"/>
        <w:spacing w:line="240" w:lineRule="auto"/>
        <w:ind w:left="720"/>
      </w:pPr>
      <w:r/>
      <w:hyperlink r:id="rId12">
        <w:r>
          <w:rPr>
            <w:color w:val="0000EE"/>
            <w:u w:val="single"/>
          </w:rPr>
          <w:t>https://tgeu.org/intersecting-oppressions-trans-people-in-europe/</w:t>
        </w:r>
      </w:hyperlink>
      <w:r>
        <w:t xml:space="preserve"> - TGEU and ILGA-Europe's joint report explores trans and non-binary people's experiences in relation to intersecting oppressions, providing a nuanced understanding of the lived experiences of different communities within the trans population. This intersectional analysis is essential for designing more effective policies and laws to address the diverse needs of trans individuals. (</w:t>
      </w:r>
      <w:hyperlink r:id="rId16">
        <w:r>
          <w:rPr>
            <w:color w:val="0000EE"/>
            <w:u w:val="single"/>
          </w:rPr>
          <w:t>tgeu.org</w:t>
        </w:r>
      </w:hyperlink>
      <w:r>
        <w:t>)</w:t>
      </w:r>
      <w:r/>
    </w:p>
    <w:p>
      <w:pPr>
        <w:pStyle w:val="ListNumber"/>
        <w:spacing w:line="240" w:lineRule="auto"/>
        <w:ind w:left="720"/>
      </w:pPr>
      <w:r/>
      <w:hyperlink r:id="rId13">
        <w:r>
          <w:rPr>
            <w:color w:val="0000EE"/>
            <w:u w:val="single"/>
          </w:rPr>
          <w:t>https://tgeu.org/trans-rights-index-map-2023/</w:t>
        </w:r>
      </w:hyperlink>
      <w:r>
        <w:t xml:space="preserve"> - TGEU's Trans Rights Index &amp; Map 2023 reveals that, despite some countries experiencing regression and anti-trans backlash, there has been overall progress in trans rights in Europe and Central Asia. Notably, Iceland has overtaken Malta at the top of the rankings, indicating significant advancements in trans rights protections. (</w:t>
      </w:r>
      <w:hyperlink r:id="rId17">
        <w:r>
          <w:rPr>
            <w:color w:val="0000EE"/>
            <w:u w:val="single"/>
          </w:rPr>
          <w:t>tgeu.org</w:t>
        </w:r>
      </w:hyperlink>
      <w:r>
        <w:t>)</w:t>
      </w:r>
      <w:r/>
    </w:p>
    <w:p>
      <w:pPr>
        <w:pStyle w:val="ListNumber"/>
        <w:spacing w:line="240" w:lineRule="auto"/>
        <w:ind w:left="720"/>
      </w:pPr>
      <w:r/>
      <w:hyperlink r:id="rId18">
        <w:r>
          <w:rPr>
            <w:color w:val="0000EE"/>
            <w:u w:val="single"/>
          </w:rPr>
          <w:t>https://tgeu.org/report-on-eu-lgbtiq-equality-strategy-2020-2025/</w:t>
        </w:r>
      </w:hyperlink>
      <w:r>
        <w:t xml:space="preserve"> - TGEU's 2022 progress report on the EU LGBTIQ Equality Strategy 2020-2025 highlights concerns that, despite the strategy mentioning trans people's specific needs, there has not been sufficient concrete action to protect trans individuals. The report aims to keep trans activists and stakeholders informed about the European Commission's progress towards its goals for the trans community. (</w:t>
      </w:r>
      <w:hyperlink r:id="rId19">
        <w:r>
          <w:rPr>
            <w:color w:val="0000EE"/>
            <w:u w:val="single"/>
          </w:rPr>
          <w:t>tgeu.org</w:t>
        </w:r>
      </w:hyperlink>
      <w:r>
        <w:t>)</w:t>
      </w:r>
      <w:r/>
    </w:p>
    <w:p>
      <w:pPr>
        <w:pStyle w:val="ListNumber"/>
        <w:spacing w:line="240" w:lineRule="auto"/>
        <w:ind w:left="720"/>
      </w:pPr>
      <w:r/>
      <w:hyperlink r:id="rId20">
        <w:r>
          <w:rPr>
            <w:color w:val="0000EE"/>
            <w:u w:val="single"/>
          </w:rPr>
          <w:t>https://tgeu.org/tgeu-releases-2023-progress-report-on-the-eu-lgbtiq-equality-strategy-2020-2025/</w:t>
        </w:r>
      </w:hyperlink>
      <w:r>
        <w:t xml:space="preserve"> - TGEU's 2023 progress report on the EU LGBTIQ Equality Strategy 2020-2025 continues to highlight unresolved issues, such as a lack of concrete action on trans people's specific needs and the absence of timelines and points of contact. The report underscores the necessity for mainstreaming intersectional approaches in the activities under the strategy. (</w:t>
      </w:r>
      <w:hyperlink r:id="rId21">
        <w:r>
          <w:rPr>
            <w:color w:val="0000EE"/>
            <w:u w:val="single"/>
          </w:rPr>
          <w:t>tgeu.org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largest-ever-survey-trans-people-eu/" TargetMode="External"/><Relationship Id="rId10" Type="http://schemas.openxmlformats.org/officeDocument/2006/relationships/hyperlink" Target="https://fra.europa.eu/fr/publications-and-resources/data-and-maps/2024/eu-lgbtiq-survey-iii" TargetMode="External"/><Relationship Id="rId11" Type="http://schemas.openxmlformats.org/officeDocument/2006/relationships/hyperlink" Target="https://www.tgeu.org/tgeu-publishes-trans-human-rights-realities-and-resilience-in-europe/" TargetMode="External"/><Relationship Id="rId12" Type="http://schemas.openxmlformats.org/officeDocument/2006/relationships/hyperlink" Target="https://tgeu.org/intersecting-oppressions-trans-people-in-europe/" TargetMode="External"/><Relationship Id="rId13" Type="http://schemas.openxmlformats.org/officeDocument/2006/relationships/hyperlink" Target="https://tgeu.org/trans-rights-index-map-2023/" TargetMode="External"/><Relationship Id="rId14" Type="http://schemas.openxmlformats.org/officeDocument/2006/relationships/hyperlink" Target="https://www.tgeu.org/tgeu-publishes-trans-human-rights-realities-and-resilience-in-europe/?utm_source=openai" TargetMode="External"/><Relationship Id="rId15" Type="http://schemas.openxmlformats.org/officeDocument/2006/relationships/hyperlink" Target="https://fra.europa.eu/fr/publications-and-resources/data-and-maps/2024/eu-lgbtiq-survey-iii?utm_source=openai" TargetMode="External"/><Relationship Id="rId16" Type="http://schemas.openxmlformats.org/officeDocument/2006/relationships/hyperlink" Target="https://tgeu.org/intersecting-oppressions-trans-people-in-europe/?utm_source=openai" TargetMode="External"/><Relationship Id="rId17" Type="http://schemas.openxmlformats.org/officeDocument/2006/relationships/hyperlink" Target="https://tgeu.org/trans-rights-index-map-2023/?utm_source=openai" TargetMode="External"/><Relationship Id="rId18" Type="http://schemas.openxmlformats.org/officeDocument/2006/relationships/hyperlink" Target="https://tgeu.org/report-on-eu-lgbtiq-equality-strategy-2020-2025/" TargetMode="External"/><Relationship Id="rId19" Type="http://schemas.openxmlformats.org/officeDocument/2006/relationships/hyperlink" Target="https://tgeu.org/report-on-eu-lgbtiq-equality-strategy-2020-2025/?utm_source=openai" TargetMode="External"/><Relationship Id="rId20" Type="http://schemas.openxmlformats.org/officeDocument/2006/relationships/hyperlink" Target="https://tgeu.org/tgeu-releases-2023-progress-report-on-the-eu-lgbtiq-equality-strategy-2020-2025/" TargetMode="External"/><Relationship Id="rId21" Type="http://schemas.openxmlformats.org/officeDocument/2006/relationships/hyperlink" Target="https://tgeu.org/tgeu-releases-2023-progress-report-on-the-eu-lgbtiq-equality-strategy-2020-2025/?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