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the LGBTQ+ Community Can Push Back Loud and Proud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frustration becomes fuel: activists, athletes and grassroots groups across sport and civic life are choosing forceful action over polished diplomacy because polite talks have failed to protect safety and rights. This matters for anyone who cares about genuine inclusion and representation now.</w:t>
      </w:r>
      <w:r/>
    </w:p>
    <w:p>
      <w:r/>
      <w:r>
        <w:t>Essential Takeaways</w:t>
      </w:r>
      <w:r/>
      <w:r/>
    </w:p>
    <w:p>
      <w:pPr>
        <w:pStyle w:val="ListBullet"/>
        <w:spacing w:line="240" w:lineRule="auto"/>
        <w:ind w:left="720"/>
      </w:pPr>
      <w:r/>
      <w:r>
        <w:rPr>
          <w:b/>
        </w:rPr>
        <w:t>Street roots matter:</w:t>
      </w:r>
      <w:r>
        <w:t xml:space="preserve"> Major gains in LGBTQ+ rights often began with visible, angry public protest rather than boardroom bargaining, and that energy still resonates.</w:t>
      </w:r>
      <w:r/>
    </w:p>
    <w:p>
      <w:pPr>
        <w:pStyle w:val="ListBullet"/>
        <w:spacing w:line="240" w:lineRule="auto"/>
        <w:ind w:left="720"/>
      </w:pPr>
      <w:r/>
      <w:r>
        <w:rPr>
          <w:b/>
        </w:rPr>
        <w:t>Organisations can drift:</w:t>
      </w:r>
      <w:r>
        <w:t xml:space="preserve"> Big LGBTQ+ institutions sometimes prioritise funding, visibility and cosy relations over frontline emancipation.</w:t>
      </w:r>
      <w:r/>
    </w:p>
    <w:p>
      <w:pPr>
        <w:pStyle w:val="ListBullet"/>
        <w:spacing w:line="240" w:lineRule="auto"/>
        <w:ind w:left="720"/>
      </w:pPr>
      <w:r/>
      <w:r>
        <w:rPr>
          <w:b/>
        </w:rPr>
        <w:t>Sport is a battleground:</w:t>
      </w:r>
      <w:r>
        <w:t xml:space="preserve"> Athletes and grassroots clubs report bureaucratic walls, token gestures and sponsorship-driven agendas that dilute real inclusion.</w:t>
      </w:r>
      <w:r/>
    </w:p>
    <w:p>
      <w:pPr>
        <w:pStyle w:val="ListBullet"/>
        <w:spacing w:line="240" w:lineRule="auto"/>
        <w:ind w:left="720"/>
      </w:pPr>
      <w:r/>
      <w:r>
        <w:rPr>
          <w:b/>
        </w:rPr>
        <w:t>Tactical variety:</w:t>
      </w:r>
      <w:r>
        <w:t xml:space="preserve"> Calm advocacy and evidence-based lobbying both matter, but raw pressure, protests, direct challenges and public disruption, still has a clear role.</w:t>
      </w:r>
      <w:r/>
    </w:p>
    <w:p>
      <w:pPr>
        <w:pStyle w:val="ListBullet"/>
        <w:spacing w:line="240" w:lineRule="auto"/>
        <w:ind w:left="720"/>
      </w:pPr>
      <w:r/>
      <w:r>
        <w:rPr>
          <w:b/>
        </w:rPr>
        <w:t>Practical choice:</w:t>
      </w:r>
      <w:r>
        <w:t xml:space="preserve"> If you want change, pick tactics that centre the people affected: size, setting and tone should fit the goal.</w:t>
      </w:r>
      <w:r/>
      <w:r/>
    </w:p>
    <w:p>
      <w:pPr>
        <w:pStyle w:val="Heading2"/>
      </w:pPr>
      <w:r>
        <w:t>Why anger still moves the dial</w:t>
      </w:r>
      <w:r/>
    </w:p>
    <w:p>
      <w:r/>
      <w:r>
        <w:t>History keeps reminding us that rage has been a catalyst for progress, a fact recorded in medical and historical literature and in activist lore alike. According to histories of the movement, uprisings and visible resistance shifted public attention and policy faster than patient negotiation alone. That sharp, emotional register signals urgency to those who’ve been comfortable with the status quo. So when communities feel policed into politeness, it’s not mere theatrics , it’s a survival instinct. For campaigners, the practical task is to channel anger strategically so it forces debate without burning essential bridges.</w:t>
      </w:r>
      <w:r/>
    </w:p>
    <w:p>
      <w:pPr>
        <w:pStyle w:val="Heading2"/>
      </w:pPr>
      <w:r>
        <w:t>When institutions prioritise stability over struggle</w:t>
      </w:r>
      <w:r/>
    </w:p>
    <w:p>
      <w:r/>
      <w:r>
        <w:t>Large organisations often become the very gatekeepers they once challenged, and that’s visible across councils, sporting bodies and charity boards. Industry reporting and academic studies show how funding cycles, sponsorship deals and governance norms nudge groups toward consensus and away from confrontation. The result is polished policy papers and glossy events that sometimes skirt the lived problems activists raise. If you’re deciding whether to back institutional work or street-level pressure, look at who’s at the decision-making table and whether affected people can actually change outcomes. If they can’t, disruption is a legitimate next step.</w:t>
      </w:r>
      <w:r/>
    </w:p>
    <w:p>
      <w:pPr>
        <w:pStyle w:val="Heading2"/>
      </w:pPr>
      <w:r>
        <w:t>Sport: from locker-room promise to bureaucratic obstacle course</w:t>
      </w:r>
      <w:r/>
    </w:p>
    <w:p>
      <w:r/>
      <w:r>
        <w:t>Sport ideally connects people, but for LGBTQ+ athletes it can be one of the hardest arenas to change. Research and reporting reveal repeated bottlenecks: national federations, committees and sponsors can turn inclusion into branding , a rainbow patch, a statement, a social-media post , while procedural barriers remain. Trans athletes, for instance, face complex rules and tests that often exclude rather than include. For clubs and athletes who want progress, the practical advice is simple: document incidents, push for transparent grievance procedures, and build alliances across teams. Small, targeted disruptions , crowding a meeting, a visible protest at a match , can force governing bodies to act where quiet letters don’t.</w:t>
      </w:r>
      <w:r/>
    </w:p>
    <w:p>
      <w:pPr>
        <w:pStyle w:val="Heading2"/>
      </w:pPr>
      <w:r>
        <w:t>Calm argument still has its place , but it can’t be the only play</w:t>
      </w:r>
      <w:r/>
    </w:p>
    <w:p>
      <w:r/>
      <w:r>
        <w:t>There’s no question that evidence-based lobbying, careful storytelling and legal work win long-term rights; advocacy groups and historians note many policy victories came from sustained, patient work. Yet when institutions weaponise calls for “calm” to silence dissent, that rhetoric shields inaction. The effective model mixes approaches: use research and legal muscle to make airtight claims, then use public pressure to make those claims impossible to ignore. If you’re organising, plan both tracks. Prepare facts and spokespeople for the media while also training volunteers to hold noisy, disciplined actions that centre affected voices.</w:t>
      </w:r>
      <w:r/>
    </w:p>
    <w:p>
      <w:pPr>
        <w:pStyle w:val="Heading2"/>
      </w:pPr>
      <w:r>
        <w:t>How to choose tactics that actually represent people</w:t>
      </w:r>
      <w:r/>
    </w:p>
    <w:p>
      <w:r/>
      <w:r>
        <w:t>Not every cause needs a rally and not every protest should be quiet. The question is representation: who’s setting the agenda and who bears the consequences? Practical tips: prioritise leadership from those directly affected; use proportional escalation (start with petitions, move to visible demo if ignored); protect vulnerable participants; and document everything to feed legal or regulatory follow-up. Remember that the aim isn’t spectacle for its own sake. It’s to shift decision-makers, restore agency to excluded people, and create durable change , even if that means making a bit more noise than you’re comfortable with.</w:t>
      </w:r>
      <w:r/>
    </w:p>
    <w:p>
      <w:r/>
      <w:r>
        <w:t>It's a small change in tactics, but it can make every demand harder to ignore.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2">
        <w:r>
          <w:rPr>
            <w:color w:val="0000EE"/>
            <w:u w:val="single"/>
          </w:rPr>
          <w:t>[7]</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2">
        <w:r>
          <w:rPr>
            <w:color w:val="0000EE"/>
            <w:u w:val="single"/>
          </w:rPr>
          <w:t>[7]</w:t>
        </w:r>
      </w:hyperlink>
      <w:r>
        <w:t xml:space="preserve">- Paragraph 4: </w:t>
      </w:r>
      <w:hyperlink r:id="rId14">
        <w:r>
          <w:rPr>
            <w:color w:val="0000EE"/>
            <w:u w:val="single"/>
          </w:rPr>
          <w:t>[3]</w:t>
        </w:r>
      </w:hyperlink>
      <w:r>
        <w:t xml:space="preserve">, </w:t>
      </w:r>
      <w:hyperlink r:id="rId11">
        <w:r>
          <w:rPr>
            <w:color w:val="0000EE"/>
            <w:u w:val="single"/>
          </w:rPr>
          <w:t>[2]</w:t>
        </w:r>
      </w:hyperlink>
      <w:r>
        <w:t xml:space="preserve">- Paragraph 5: </w:t>
      </w:r>
      <w:hyperlink r:id="rId15">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https://www.volkskrant.nl/columns-opinie/opinie-waarom-de-lhbti-gemeenschap-juist-wel-een-vuist-moet-maken~bc91e80c/</w:t>
        </w:r>
      </w:hyperlink>
      <w:r>
        <w:t xml:space="preserve"> - Please view link - unable to able to access data</w:t>
      </w:r>
      <w:r/>
    </w:p>
    <w:p>
      <w:pPr>
        <w:pStyle w:val="ListNumber"/>
        <w:spacing w:line="240" w:lineRule="auto"/>
        <w:ind w:left="720"/>
      </w:pPr>
      <w:r/>
      <w:hyperlink r:id="rId11">
        <w:r>
          <w:rPr>
            <w:color w:val="0000EE"/>
            <w:u w:val="single"/>
          </w:rPr>
          <w:t>https://www.ncbi.nlm.nih.gov/sites/books/NBK566089/</w:t>
        </w:r>
      </w:hyperlink>
      <w:r>
        <w:t xml:space="preserve"> - This article discusses the importance of civic and political engagement for sexual and gender diverse (SGD) populations. It highlights that LGBTQ+ individuals are more likely to participate in political activities than their heterosexual peers, including attending protests, contacting government officials, and volunteering. The piece also notes that activism can be emotionally taxing, with 84% of LGBTQ+ activists reporting emotional strain. The article underscores the role of community organizations in supporting the well-being of SGD people and fostering resilience through sociopolitical involvement.</w:t>
      </w:r>
      <w:r/>
    </w:p>
    <w:p>
      <w:pPr>
        <w:pStyle w:val="ListNumber"/>
        <w:spacing w:line="240" w:lineRule="auto"/>
        <w:ind w:left="720"/>
      </w:pPr>
      <w:r/>
      <w:hyperlink r:id="rId14">
        <w:r>
          <w:rPr>
            <w:color w:val="0000EE"/>
            <w:u w:val="single"/>
          </w:rPr>
          <w:t>https://pflag.org/our-history/</w:t>
        </w:r>
      </w:hyperlink>
      <w:r>
        <w:t xml:space="preserve"> - PFLAG, established over fifty years ago, serves as a support network for LGBTQ+ individuals, their families, and allies. The organisation began with a letter that led to a march, which evolved into a movement of millions. PFLAG has been instrumental in connecting LGBTQ+ people with community resources, providing support to parents, and offering tools to allies, thereby bolstering the LGBTQ+ movement with strength, power, and love.</w:t>
      </w:r>
      <w:r/>
    </w:p>
    <w:p>
      <w:pPr>
        <w:pStyle w:val="ListNumber"/>
        <w:spacing w:line="240" w:lineRule="auto"/>
        <w:ind w:left="720"/>
      </w:pPr>
      <w:r/>
      <w:hyperlink r:id="rId10">
        <w:r>
          <w:rPr>
            <w:color w:val="0000EE"/>
            <w:u w:val="single"/>
          </w:rPr>
          <w:t>https://www.history.com/articles/the-stonewall-riots</w:t>
        </w:r>
      </w:hyperlink>
      <w:r>
        <w:t xml:space="preserve"> - The Stonewall Riots, occurring in the early hours of June 28, 1969, were a pivotal event in LGBTQ+ history. The riots began when New York City police raided the Stonewall Inn, a gay club in Greenwich Village, leading to six days of protests and clashes with law enforcement. This uprising served as a catalyst for the modern gay rights movement in the United States and globally, highlighting the community's resistance against oppression and their fight for equal rights.</w:t>
      </w:r>
      <w:r/>
    </w:p>
    <w:p>
      <w:pPr>
        <w:pStyle w:val="ListNumber"/>
        <w:spacing w:line="240" w:lineRule="auto"/>
        <w:ind w:left="720"/>
      </w:pPr>
      <w:r/>
      <w:hyperlink r:id="rId13">
        <w:r>
          <w:rPr>
            <w:color w:val="0000EE"/>
            <w:u w:val="single"/>
          </w:rPr>
          <w:t>https://www.tandfonline.com/doi/full/10.1080/10304312.2023.2296344</w:t>
        </w:r>
      </w:hyperlink>
      <w:r>
        <w:t xml:space="preserve"> - This research article examines the role of allies in LGBTQ+ activism, exploring past, present, and future perspectives. It discusses how homophobia, transphobia, and biphobia continue to affect LGBTQ+ communities, and the beneficial role of allies in supporting equity. The concept of LGBTQA+ allyship is explored, noting some controversies regarding who qualifies as an ally and what the role entails. The article underscores the importance of allyship in advancing LGBTQ+ rights and combating discrimination.</w:t>
      </w:r>
      <w:r/>
    </w:p>
    <w:p>
      <w:pPr>
        <w:pStyle w:val="ListNumber"/>
        <w:spacing w:line="240" w:lineRule="auto"/>
        <w:ind w:left="720"/>
      </w:pPr>
      <w:r/>
      <w:hyperlink r:id="rId15">
        <w:r>
          <w:rPr>
            <w:color w:val="0000EE"/>
            <w:u w:val="single"/>
          </w:rPr>
          <w:t>https://www.psychologytoday.com/us/blog/what-the-wild-things-are/202106/the-importance-pride-month</w:t>
        </w:r>
      </w:hyperlink>
      <w:r>
        <w:t xml:space="preserve"> - This article delves into the significance of Pride Month, tracing its origins to the 1969 Stonewall uprising in New York City. It highlights how the LGBTQ+ community's systematic oppression led to the first recorded march for their rights, demanding equal treatment and dignity. The piece emphasises that Pride Month and parades continue to be vital for solidarity, human rights advocacy, and visibility, countering the shame and discrimination faced by the community.</w:t>
      </w:r>
      <w:r/>
    </w:p>
    <w:p>
      <w:pPr>
        <w:pStyle w:val="ListNumber"/>
        <w:spacing w:line="240" w:lineRule="auto"/>
        <w:ind w:left="720"/>
      </w:pPr>
      <w:r/>
      <w:hyperlink r:id="rId12">
        <w:r>
          <w:rPr>
            <w:color w:val="0000EE"/>
            <w:u w:val="single"/>
          </w:rPr>
          <w:t>https://apnews.com/article/db6142ccc885a86dde5e4eeb9f42b539</w:t>
        </w:r>
      </w:hyperlink>
      <w:r>
        <w:t xml:space="preserve"> - This article reflects on the 25th anniversary of Matthew Shepard's death, a gay student whose brutal murder in 1998 became a catalyst for the LGBTQ+ rights movement. It discusses the progress made, such as the legalization of same-sex civil unions and the repeal of discriminatory laws. However, it also highlights the resurgence of violence and anti-LGBTQ+ legislation, particularly targeting transgender individuals, and the ongoing need for activism to protect these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columns-opinie/opinie-waarom-de-lhbti-gemeenschap-juist-wel-een-vuist-moet-maken~bc91e80c/" TargetMode="External"/><Relationship Id="rId10" Type="http://schemas.openxmlformats.org/officeDocument/2006/relationships/hyperlink" Target="https://www.history.com/articles/the-stonewall-riots" TargetMode="External"/><Relationship Id="rId11" Type="http://schemas.openxmlformats.org/officeDocument/2006/relationships/hyperlink" Target="https://www.ncbi.nlm.nih.gov/sites/books/NBK566089/" TargetMode="External"/><Relationship Id="rId12" Type="http://schemas.openxmlformats.org/officeDocument/2006/relationships/hyperlink" Target="https://apnews.com/article/db6142ccc885a86dde5e4eeb9f42b539" TargetMode="External"/><Relationship Id="rId13" Type="http://schemas.openxmlformats.org/officeDocument/2006/relationships/hyperlink" Target="https://www.tandfonline.com/doi/full/10.1080/10304312.2023.2296344" TargetMode="External"/><Relationship Id="rId14" Type="http://schemas.openxmlformats.org/officeDocument/2006/relationships/hyperlink" Target="https://pflag.org/our-history/" TargetMode="External"/><Relationship Id="rId15" Type="http://schemas.openxmlformats.org/officeDocument/2006/relationships/hyperlink" Target="https://www.psychologytoday.com/us/blog/what-the-wild-things-are/202106/the-importance-pride-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