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Coverage of Workplace Stigma: Malawi Civil Servant’s Story and What It Means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are turning to human stories to understand policy; a Malawian civil servant’s decision to stop reporting for work after being outed as LGBTQI puts a human face on legal and social pressures. This matters for colleagues, employers and anyone who cares about dignity at work in Malawi and beyond.</w:t>
      </w:r>
      <w:r/>
    </w:p>
    <w:p>
      <w:r/>
      <w:r>
        <w:t>Essential Takeaways</w:t>
      </w:r>
      <w:r/>
      <w:r/>
    </w:p>
    <w:p>
      <w:pPr>
        <w:pStyle w:val="ListBullet"/>
        <w:spacing w:line="240" w:lineRule="auto"/>
        <w:ind w:left="720"/>
      </w:pPr>
      <w:r/>
      <w:r>
        <w:rPr>
          <w:b/>
        </w:rPr>
        <w:t>Personal impact:</w:t>
      </w:r>
      <w:r>
        <w:t xml:space="preserve"> A 40‑year‑old ICT officer says he stopped reporting for duty after being publicly identified as a member of the LGBTQI community and then ostracised by colleagues and supervisors, leaving him without assigned work and feeling rejected.</w:t>
      </w:r>
      <w:r/>
    </w:p>
    <w:p>
      <w:pPr>
        <w:pStyle w:val="ListBullet"/>
        <w:spacing w:line="240" w:lineRule="auto"/>
        <w:ind w:left="720"/>
      </w:pPr>
      <w:r/>
      <w:r>
        <w:rPr>
          <w:b/>
        </w:rPr>
        <w:t>Legal context:</w:t>
      </w:r>
      <w:r>
        <w:t xml:space="preserve"> Malawi’s laws still criminalise same‑sex acts, and convictions can carry sentences of up to 14 years, which amplifies stigma and fear for people who are outed.</w:t>
      </w:r>
      <w:r/>
    </w:p>
    <w:p>
      <w:pPr>
        <w:pStyle w:val="ListBullet"/>
        <w:spacing w:line="240" w:lineRule="auto"/>
        <w:ind w:left="720"/>
      </w:pPr>
      <w:r/>
      <w:r>
        <w:rPr>
          <w:b/>
        </w:rPr>
        <w:t>Workplace reality:</w:t>
      </w:r>
      <w:r>
        <w:t xml:space="preserve"> Stigma can take practical forms , exclusion from tasks, avoidance by co‑workers and damaged career prospects , not just social hostility.</w:t>
      </w:r>
      <w:r/>
    </w:p>
    <w:p>
      <w:pPr>
        <w:pStyle w:val="ListBullet"/>
        <w:spacing w:line="240" w:lineRule="auto"/>
        <w:ind w:left="720"/>
      </w:pPr>
      <w:r/>
      <w:r>
        <w:rPr>
          <w:b/>
        </w:rPr>
        <w:t>Rights and routes:</w:t>
      </w:r>
      <w:r>
        <w:t xml:space="preserve"> Human rights organisations and labour guides stress that workers have protections against unfair treatment, even where social attitudes are conservative.</w:t>
      </w:r>
      <w:r/>
    </w:p>
    <w:p>
      <w:pPr>
        <w:pStyle w:val="ListBullet"/>
        <w:spacing w:line="240" w:lineRule="auto"/>
        <w:ind w:left="720"/>
      </w:pPr>
      <w:r/>
      <w:r>
        <w:rPr>
          <w:b/>
        </w:rPr>
        <w:t>Practical next steps:</w:t>
      </w:r>
      <w:r>
        <w:t xml:space="preserve"> If you or a colleague face similar treatment, document incidents, seek advice from worker‑rights groups and consider confidential legal or advocacy support.</w:t>
      </w:r>
      <w:r/>
      <w:r/>
    </w:p>
    <w:p>
      <w:pPr>
        <w:pStyle w:val="Heading2"/>
      </w:pPr>
      <w:r>
        <w:t>A worker’s quiet exit: what happened and how it felt</w:t>
      </w:r>
      <w:r/>
    </w:p>
    <w:p>
      <w:r/>
      <w:r>
        <w:t>The strongest image here is ordinary: an ICT officer with a decade of public‑service experience suddenly sidelined and spending his days away from the office. According to local reporting, the man said a manager’s remarks at a lodge effectively outed him to colleagues, and from that point his duties stopped arriving and his colleagues allegedly avoided him. The practical sting , no work, no purpose , is as painful as any insult.</w:t>
      </w:r>
      <w:r/>
    </w:p>
    <w:p>
      <w:r/>
      <w:r>
        <w:t>This is not an isolated anecdote. Human Rights Watch has documented how disclosure of sexual orientation quickly translates into exclusion at work and in daily life, and that fear of criminal penalties makes people more vulnerable. For someone in Malawi’s public service, the fallout can be particularly acute because employers are part of a smaller, visible network.</w:t>
      </w:r>
      <w:r/>
    </w:p>
    <w:p>
      <w:pPr>
        <w:pStyle w:val="Heading2"/>
      </w:pPr>
      <w:r>
        <w:t>Law, culture and the shadow of criminalisation</w:t>
      </w:r>
      <w:r/>
    </w:p>
    <w:p>
      <w:r/>
      <w:r>
        <w:t>Malawi’s legal framework still criminalises same‑sex activity, and that reality changes everything. When the law carries heavy penalties it tends to legitimise stigma. Reports from human rights organisations show that criminalisation doesn’t only mean prosecutions , it fuels discrimination, drives silence and can push people into hiding or away from the country.</w:t>
      </w:r>
      <w:r/>
    </w:p>
    <w:p>
      <w:r/>
      <w:r>
        <w:t>At the same time, Malawi is a deeply religious society and many families view LGBTQI identities through moral or faith lenses. That combination of legal risk and cultural pressure explains why some people say they’ve lost family support as well as workplace standing after being identified.</w:t>
      </w:r>
      <w:r/>
    </w:p>
    <w:p>
      <w:pPr>
        <w:pStyle w:val="Heading2"/>
      </w:pPr>
      <w:r>
        <w:t>What the rules say and where to look for help</w:t>
      </w:r>
      <w:r/>
    </w:p>
    <w:p>
      <w:r/>
      <w:r>
        <w:t>Even in jurisdictions where social attitudes are conservative, labour law and workplace standards can offer protections. Guides on worker rights and fair treatment in Malawi outline basic obligations for employers , such as non‑discriminatory assignment of duties and protections against harassment , and suggest routes for recourse.</w:t>
      </w:r>
      <w:r/>
    </w:p>
    <w:p>
      <w:r/>
      <w:r>
        <w:t>If you’re facing discrimination, start by documenting everything: dates, witnesses, emails, denied tasks. Consult an employee handbook if there is one, and reach out to worker‑rights organisations for confidential advice. Human rights groups can offer advocacy and, where necessary, connect people to legal support or safe relocation resources.</w:t>
      </w:r>
      <w:r/>
    </w:p>
    <w:p>
      <w:pPr>
        <w:pStyle w:val="Heading2"/>
      </w:pPr>
      <w:r>
        <w:t>Employers, take note: small actions make a big difference</w:t>
      </w:r>
      <w:r/>
    </w:p>
    <w:p>
      <w:r/>
      <w:r>
        <w:t>Employers who want to avoid situations like this need to act before crisis. Clear anti‑harassment policies, regular training for managers and an accessible complaints process reduce the chance that an employee will feel forced out. Even a short internal campaign that frames fair treatment as a matter of efficiency and safety can shift behaviour without sparking public debate about values.</w:t>
      </w:r>
      <w:r/>
    </w:p>
    <w:p>
      <w:r/>
      <w:r>
        <w:t>When incidents do occur, prompt, neutral investigation and temporary protections for the affected employee are crucial. Ignoring the problem risks losing skilled staff and damaging morale across the organisation.</w:t>
      </w:r>
      <w:r/>
    </w:p>
    <w:p>
      <w:pPr>
        <w:pStyle w:val="Heading2"/>
      </w:pPr>
      <w:r>
        <w:t>Looking ahead: conversation, not just headlines</w:t>
      </w:r>
      <w:r/>
    </w:p>
    <w:p>
      <w:r/>
      <w:r>
        <w:t>This case underlines a wider need for dialogue between rights groups, employers and faith leaders so that dignity at work becomes a practical, shared standard. Malawi’s situation shows how law, culture and workplace practice interact , and how change, if it comes, will be incremental. For now the question for many is simple and humane: how do we make workplaces safe enough that people can do their jobs without fear?</w:t>
      </w:r>
      <w:r/>
    </w:p>
    <w:p>
      <w:r/>
      <w:r>
        <w:t>It's a small change that can make every working day fairer.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[5]</w:t>
        </w:r>
      </w:hyperlink>
      <w:r>
        <w:t xml:space="preserve">- Paragraph 2: </w:t>
      </w:r>
      <w:hyperlink r:id="rId12">
        <w:r>
          <w:rPr>
            <w:color w:val="0000EE"/>
            <w:u w:val="single"/>
          </w:rPr>
          <w:t>[3]</w:t>
        </w:r>
      </w:hyperlink>
      <w:r>
        <w:t xml:space="preserve">, </w:t>
      </w:r>
      <w:hyperlink r:id="rId10">
        <w:r>
          <w:rPr>
            <w:color w:val="0000EE"/>
            <w:u w:val="single"/>
          </w:rPr>
          <w:t>[2]</w:t>
        </w:r>
      </w:hyperlink>
      <w:r>
        <w:t xml:space="preserve">- Paragraph 3: </w:t>
      </w:r>
      <w:hyperlink r:id="rId10">
        <w:r>
          <w:rPr>
            <w:color w:val="0000EE"/>
            <w:u w:val="single"/>
          </w:rPr>
          <w:t>[2]</w:t>
        </w:r>
      </w:hyperlink>
      <w:r>
        <w:t xml:space="preserve">, </w:t>
      </w:r>
      <w:hyperlink r:id="rId13">
        <w:r>
          <w:rPr>
            <w:color w:val="0000EE"/>
            <w:u w:val="single"/>
          </w:rPr>
          <w:t>[6]</w:t>
        </w:r>
      </w:hyperlink>
      <w:r>
        <w:t xml:space="preserve">- Paragraph 4: </w:t>
      </w:r>
      <w:hyperlink r:id="rId14">
        <w:r>
          <w:rPr>
            <w:color w:val="0000EE"/>
            <w:u w:val="single"/>
          </w:rPr>
          <w:t>[7]</w:t>
        </w:r>
      </w:hyperlink>
      <w:r>
        <w:t xml:space="preserve">, </w:t>
      </w:r>
      <w:hyperlink r:id="rId11">
        <w:r>
          <w:rPr>
            <w:color w:val="0000EE"/>
            <w:u w:val="single"/>
          </w:rPr>
          <w:t>[5]</w:t>
        </w:r>
      </w:hyperlink>
      <w:r>
        <w:t xml:space="preserve">- Paragraph 5: </w:t>
      </w:r>
      <w:hyperlink r:id="rId10">
        <w:r>
          <w:rPr>
            <w:color w:val="0000EE"/>
            <w:u w:val="single"/>
          </w:rPr>
          <w:t>[2]</w:t>
        </w:r>
      </w:hyperlink>
      <w:r>
        <w:t xml:space="preserve">, </w:t>
      </w:r>
      <w:hyperlink r:id="rId12">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https://www.maravipost.com/malawi-civil-servant-allegedly-stops-reporting-for-duty-over-lgbtqi-stigma/</w:t>
        </w:r>
      </w:hyperlink>
      <w:r>
        <w:t xml:space="preserve"> - Please view link - unable to able to access data</w:t>
      </w:r>
      <w:r/>
    </w:p>
    <w:p>
      <w:pPr>
        <w:pStyle w:val="ListNumber"/>
        <w:spacing w:line="240" w:lineRule="auto"/>
        <w:ind w:left="720"/>
      </w:pPr>
      <w:r/>
      <w:hyperlink r:id="rId10">
        <w:r>
          <w:rPr>
            <w:color w:val="0000EE"/>
            <w:u w:val="single"/>
          </w:rPr>
          <w:t>https://www.hrw.org/report/2026/06/12/i-just-want-to-work-without-fear/discrimination-and-violations-of-the-right-to</w:t>
        </w:r>
      </w:hyperlink>
      <w:r>
        <w:t xml:space="preserve"> - This Human Rights Watch report highlights the discrimination and violations of the right to work faced by persons with albinism in Malawi. It discusses the legal and policy frameworks in place, such as the Persons with Disabilities Act, and the gaps in implementation that leave individuals vulnerable to workplace discrimination. The report underscores the need for effective enforcement of existing laws to protect the rights of persons with disabilities, including those with albinism, in the employment sector.</w:t>
      </w:r>
      <w:r/>
    </w:p>
    <w:p>
      <w:pPr>
        <w:pStyle w:val="ListNumber"/>
        <w:spacing w:line="240" w:lineRule="auto"/>
        <w:ind w:left="720"/>
      </w:pPr>
      <w:r/>
      <w:hyperlink r:id="rId12">
        <w:r>
          <w:rPr>
            <w:color w:val="0000EE"/>
            <w:u w:val="single"/>
          </w:rPr>
          <w:t>https://www.hrw.org/news/2024/07/11/dark-day-malawi-rights-lgbt-people</w:t>
        </w:r>
      </w:hyperlink>
      <w:r>
        <w:t xml:space="preserve"> - Human Rights Watch reports on the Constitutional Court's decision to uphold the criminalization of same-sex conduct in Malawi. The article discusses the implications of this ruling on the rights of lesbian, gay, bisexual, and transgender individuals, highlighting the contradiction with fundamental rights such as equality and non-discrimination. It emphasizes the ongoing challenges faced by the LGBTQI community in Malawi due to legal and societal attitudes.</w:t>
      </w:r>
      <w:r/>
    </w:p>
    <w:p>
      <w:pPr>
        <w:pStyle w:val="ListNumber"/>
        <w:spacing w:line="240" w:lineRule="auto"/>
        <w:ind w:left="720"/>
      </w:pPr>
      <w:r/>
      <w:hyperlink r:id="rId15">
        <w:r>
          <w:rPr>
            <w:color w:val="0000EE"/>
            <w:u w:val="single"/>
          </w:rPr>
          <w:t>https://pmc.ncbi.nlm.nih.gov/articles/PMC10731526/</w:t>
        </w:r>
      </w:hyperlink>
      <w:r>
        <w:t xml:space="preserve"> - This article examines the controversy surrounding LGBTQI rights in Malawi, focusing on the legal framework that criminalizes same-sex sexual activity under the Penal Code. It discusses the maximum penalty of 14 years imprisonment for such acts and the broader implications for the LGBTQI community in the country. The piece provides insights into the societal and legal challenges faced by individuals due to these laws.</w:t>
      </w:r>
      <w:r/>
    </w:p>
    <w:p>
      <w:pPr>
        <w:pStyle w:val="ListNumber"/>
        <w:spacing w:line="240" w:lineRule="auto"/>
        <w:ind w:left="720"/>
      </w:pPr>
      <w:r/>
      <w:hyperlink r:id="rId11">
        <w:r>
          <w:rPr>
            <w:color w:val="0000EE"/>
            <w:u w:val="single"/>
          </w:rPr>
          <w:t>https://africarrieres.com/malawi/en/guide/droit-du-travail/harassment-discrimination</w:t>
        </w:r>
      </w:hyperlink>
      <w:r>
        <w:t xml:space="preserve"> - This guide provides an overview of workplace harassment and discrimination in Malawi, detailing the legal framework that protects employees from such issues. It discusses key legislative instruments, including the Employment Act (2000) and the Constitution of the Republic of Malawi (1994), which establish fundamental rights and responsibilities for both employers and employees. The guide also highlights the forms of workplace harassment recognized in Malawi and the protections available to workers.</w:t>
      </w:r>
      <w:r/>
    </w:p>
    <w:p>
      <w:pPr>
        <w:pStyle w:val="ListNumber"/>
        <w:spacing w:line="240" w:lineRule="auto"/>
        <w:ind w:left="720"/>
      </w:pPr>
      <w:r/>
      <w:hyperlink r:id="rId13">
        <w:r>
          <w:rPr>
            <w:color w:val="0000EE"/>
            <w:u w:val="single"/>
          </w:rPr>
          <w:t>https://africarrieres.com/malawi/en/guide/droit-du-travail/worker-rights</w:t>
        </w:r>
      </w:hyperlink>
      <w:r>
        <w:t xml:space="preserve"> - This guide outlines worker rights in Malawi, emphasizing non-discrimination and equality protections. It details the prohibited grounds for discrimination, including sex, race, religion, and sexual orientation, and discusses the Employment Act's provisions on equal pay for equal work. The guide also highlights the importance of these protections in ensuring equal treatment and opportunity for all workers in the country.</w:t>
      </w:r>
      <w:r/>
    </w:p>
    <w:p>
      <w:pPr>
        <w:pStyle w:val="ListNumber"/>
        <w:spacing w:line="240" w:lineRule="auto"/>
        <w:ind w:left="720"/>
      </w:pPr>
      <w:r/>
      <w:hyperlink r:id="rId14">
        <w:r>
          <w:rPr>
            <w:color w:val="0000EE"/>
            <w:u w:val="single"/>
          </w:rPr>
          <w:t>https://wageindicator.org/en-mw/work-in-malawi/labour-law/fair-treatment/</w:t>
        </w:r>
      </w:hyperlink>
      <w:r>
        <w:t xml:space="preserve"> - This article discusses the non-discrimination provisions under Malawian law, emphasizing that all persons are guaranteed equal and effective protection against discrimination on various grounds, including race, sex, and sexual orientation. It highlights the Employment Act's prohibition of discrimination in all aspects of employment, including recruitment, training, promotion, and termination. The article underscores the right to fair remuneration and equal pay for equal work without distinction or discrimination.</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maravipost.com/malawi-civil-servant-allegedly-stops-reporting-for-duty-over-lgbtqi-stigma/" TargetMode="External"/><Relationship Id="rId10" Type="http://schemas.openxmlformats.org/officeDocument/2006/relationships/hyperlink" Target="https://www.hrw.org/report/2026/06/12/i-just-want-to-work-without-fear/discrimination-and-violations-of-the-right-to" TargetMode="External"/><Relationship Id="rId11" Type="http://schemas.openxmlformats.org/officeDocument/2006/relationships/hyperlink" Target="https://africarrieres.com/malawi/en/guide/droit-du-travail/harassment-discrimination" TargetMode="External"/><Relationship Id="rId12" Type="http://schemas.openxmlformats.org/officeDocument/2006/relationships/hyperlink" Target="https://www.hrw.org/news/2024/07/11/dark-day-malawi-rights-lgbt-people" TargetMode="External"/><Relationship Id="rId13" Type="http://schemas.openxmlformats.org/officeDocument/2006/relationships/hyperlink" Target="https://africarrieres.com/malawi/en/guide/droit-du-travail/worker-rights" TargetMode="External"/><Relationship Id="rId14" Type="http://schemas.openxmlformats.org/officeDocument/2006/relationships/hyperlink" Target="https://wageindicator.org/en-mw/work-in-malawi/labour-law/fair-treatment/" TargetMode="External"/><Relationship Id="rId15" Type="http://schemas.openxmlformats.org/officeDocument/2006/relationships/hyperlink" Target="https://pmc.ncbi.nlm.nih.gov/articles/PMC1073152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