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Crowdfunding Strategies for LGBTQ+ Ohioans of Colour: How Community Is Filling the Safety Net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strangers are increasingly turning to crowdfunding and mutual aid to keep LGBTQ+ Ohioans of colour housed and fed, as shrinking institutional support leaves many with urgent needs; here’s how these grassroots lifelines work, who’s using them, and practical tips for donors and organisers.</w:t>
      </w:r>
      <w:r/>
    </w:p>
    <w:p>
      <w:r/>
      <w:r>
        <w:t>Essential Takeaways</w:t>
      </w:r>
      <w:r/>
      <w:r/>
    </w:p>
    <w:p>
      <w:pPr>
        <w:pStyle w:val="ListBullet"/>
        <w:spacing w:line="240" w:lineRule="auto"/>
        <w:ind w:left="720"/>
      </w:pPr>
      <w:r/>
      <w:r>
        <w:rPr>
          <w:b/>
        </w:rPr>
        <w:t>Widespread need:</w:t>
      </w:r>
      <w:r>
        <w:t xml:space="preserve"> Crowdfunding often covers fundamentals, housing, food and daily bills, rather than one-off luxuries, with many campaigns beginning in states with hostile policies. </w:t>
      </w:r>
      <w:r/>
    </w:p>
    <w:p>
      <w:pPr>
        <w:pStyle w:val="ListBullet"/>
        <w:spacing w:line="240" w:lineRule="auto"/>
        <w:ind w:left="720"/>
      </w:pPr>
      <w:r/>
      <w:r>
        <w:rPr>
          <w:b/>
        </w:rPr>
        <w:t>High emotional cost:</w:t>
      </w:r>
      <w:r>
        <w:t xml:space="preserve"> Asking for help carries stigma and fatigue, especially for Black trans women and other marginalised people who face public suspicion. </w:t>
      </w:r>
      <w:r/>
    </w:p>
    <w:p>
      <w:pPr>
        <w:pStyle w:val="ListBullet"/>
        <w:spacing w:line="240" w:lineRule="auto"/>
        <w:ind w:left="720"/>
      </w:pPr>
      <w:r/>
      <w:r>
        <w:rPr>
          <w:b/>
        </w:rPr>
        <w:t>Mutual aid differs from charity:</w:t>
      </w:r>
      <w:r>
        <w:t xml:space="preserve"> Sustainable relief relies on relationships and recurring support, not single social posts. </w:t>
      </w:r>
      <w:r/>
    </w:p>
    <w:p>
      <w:pPr>
        <w:pStyle w:val="ListBullet"/>
        <w:spacing w:line="240" w:lineRule="auto"/>
        <w:ind w:left="720"/>
      </w:pPr>
      <w:r/>
      <w:r>
        <w:rPr>
          <w:b/>
        </w:rPr>
        <w:t>Practical skills matter:</w:t>
      </w:r>
      <w:r>
        <w:t xml:space="preserve"> Storytelling, transparency and itemised asks help campaigns succeed; organisers say clarity and dignity increase donations. </w:t>
      </w:r>
      <w:r/>
    </w:p>
    <w:p>
      <w:pPr>
        <w:pStyle w:val="ListBullet"/>
        <w:spacing w:line="240" w:lineRule="auto"/>
        <w:ind w:left="720"/>
      </w:pPr>
      <w:r/>
      <w:r>
        <w:rPr>
          <w:b/>
        </w:rPr>
        <w:t>Systemic gaps persist:</w:t>
      </w:r>
      <w:r>
        <w:t xml:space="preserve"> Foundation funding for LGBTQ+ communities of colour has declined, making peer-to-peer giving a default safety net.</w:t>
      </w:r>
      <w:r/>
      <w:r/>
    </w:p>
    <w:p>
      <w:pPr>
        <w:pStyle w:val="Heading2"/>
      </w:pPr>
      <w:r>
        <w:t>Crowdfunding as emergency medicine , not a cure</w:t>
      </w:r>
      <w:r/>
    </w:p>
    <w:p>
      <w:r/>
      <w:r>
        <w:t>Crowdfunding in Ohio has become a first response when housing, wages or healthcare fail, and the reality feels visceral: empty cupboards and last-resort posts. According to public reporting and academic analyses, many fundraisers focus on housing and daily survival rather than elective expenses, which underlines how urgent and basic these needs are. People like Zuggie Tate in Cleveland turned to online appeals after eviction loomed, itemising needs so donors could see exactly what their money would buy.</w:t>
      </w:r>
      <w:r/>
    </w:p>
    <w:p>
      <w:r/>
      <w:r>
        <w:t>This emergency-mode approach brings visibility but also stress. Organisers and recipients say telling an intimate story online can feel exposing, and the emotional labour of asking for help compounds existing trauma. For donors and volunteers, it’s worth recognising that these campaigns are patching systemic holes, not fixing the root causes.</w:t>
      </w:r>
      <w:r/>
    </w:p>
    <w:p>
      <w:pPr>
        <w:pStyle w:val="Heading2"/>
      </w:pPr>
      <w:r>
        <w:t>Why mutual aid is different , and why it matters</w:t>
      </w:r>
      <w:r/>
    </w:p>
    <w:p>
      <w:r/>
      <w:r>
        <w:t>Mutual aid emphasises ongoing relationships and shared power, which community organisers argue is the long-term antidote to recurring crises. Where crowdfunding handles immediate gaps, mutual aid works to prevent those gaps from widening by circulating resources before people hit rock bottom. Organisers like Karen Hewitt in Columbus stress that this isn’t charity theatre but an attempt to rebalance access to housing, jobs and health.</w:t>
      </w:r>
      <w:r/>
    </w:p>
    <w:p>
      <w:r/>
      <w:r>
        <w:t>If you want to help effectively, consider recurring contributions or joining local mutual-aid networks rather than one-off donations. Consistency builds trust and allows organisers to plan, food or rent once is a lifeline, but steady support is stabilising.</w:t>
      </w:r>
      <w:r/>
    </w:p>
    <w:p>
      <w:pPr>
        <w:pStyle w:val="Heading2"/>
      </w:pPr>
      <w:r>
        <w:t>The craft of asking: storytelling, transparency and dignity</w:t>
      </w:r>
      <w:r/>
    </w:p>
    <w:p>
      <w:r/>
      <w:r>
        <w:t>Successful campaigns often share three things: a clear need, an itemised budget and a human story that invites empathy without exploiting trauma. That’s what Tate found: donors responded better when she listed specific expenses. But there’s a tightrope to walk, oversharing can invite scepticism, undersharing can leave people unmoved. Organisers recommend simple transparency, say exactly what money will cover, track spending and report back.</w:t>
      </w:r>
      <w:r/>
    </w:p>
    <w:p>
      <w:r/>
      <w:r>
        <w:t>For campaigners: pick concrete goals, use photos or receipts where appropriate, and update supporters. For donors: ask how funds will be used and favour campaigns that provide follow-up. Small gestures, public thanks, a message of support, matter almost as much as cash.</w:t>
      </w:r>
      <w:r/>
    </w:p>
    <w:p>
      <w:pPr>
        <w:pStyle w:val="Heading2"/>
      </w:pPr>
      <w:r>
        <w:t>The toll of repeated insecurity , mental health and dignity</w:t>
      </w:r>
      <w:r/>
    </w:p>
    <w:p>
      <w:r/>
      <w:r>
        <w:t>Chronic financial instability isn’t just an income problem; it’s a public health issue. Therapists and community leaders note that constant crises trigger chronic stress and make it harder to keep jobs, maintain housing or be creative. Artists and organisers in Cleveland describe trying to write or perform while wondering where the next meal will come from.</w:t>
      </w:r>
      <w:r/>
    </w:p>
    <w:p>
      <w:r/>
      <w:r>
        <w:t>Support that respects dignity helps reduce stress. That can mean donations that aren’t conditional, volunteers who help with applications, or community programmes that simplify access to services. When you donate, think beyond the transaction: what helps someone feel safe and seen?</w:t>
      </w:r>
      <w:r/>
    </w:p>
    <w:p>
      <w:pPr>
        <w:pStyle w:val="Heading2"/>
      </w:pPr>
      <w:r>
        <w:t>How donors and allies can give smarter</w:t>
      </w:r>
      <w:r/>
    </w:p>
    <w:p>
      <w:r/>
      <w:r>
        <w:t>If you want to support LGBTQ+ Ohioans of colour in a way that lasts, consider these practical moves: set up recurring donations to mutual-aid groups, give gift cards for grocery stores and utilities rather than cash if it’s preferred, and back organisations with transparent funding practices. Volunteer time too, help with paperwork, social-media outreach or basic logistics, and advocate for more public and foundation funding where possible.</w:t>
      </w:r>
      <w:r/>
    </w:p>
    <w:p>
      <w:r/>
      <w:r>
        <w:t>Remember: small recurring gifts add up, and building relationships with local groups often yields better outcomes than ad-hoc viral campaigns. Your support can be quiet and steady, and that’s often what people need most.</w:t>
      </w:r>
      <w:r/>
    </w:p>
    <w:p>
      <w:r/>
      <w:r>
        <w:t>It's a small change that can make every crowdfunding plea a little less desperate and a lot more hopeful.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5">
        <w:r>
          <w:rPr>
            <w:color w:val="0000EE"/>
            <w:u w:val="single"/>
          </w:rPr>
          <w:t>[5]</w:t>
        </w:r>
      </w:hyperlink>
      <w:r>
        <w:t xml:space="preserve">- Paragraph 4: </w:t>
      </w:r>
      <w:hyperlink r:id="rId13">
        <w:r>
          <w:rPr>
            <w:color w:val="0000EE"/>
            <w:u w:val="single"/>
          </w:rPr>
          <w:t>[6]</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https://goodmenproject.com/featured-content/crowdfunding-has-become-a-lifeline-for-lgbtq-ohioans-of-color/</w:t>
        </w:r>
      </w:hyperlink>
      <w:r>
        <w:t xml:space="preserve"> - Please view link - unable to able to access data</w:t>
      </w:r>
      <w:r/>
    </w:p>
    <w:p>
      <w:pPr>
        <w:pStyle w:val="ListNumber"/>
        <w:spacing w:line="240" w:lineRule="auto"/>
        <w:ind w:left="720"/>
      </w:pPr>
      <w:r/>
      <w:hyperlink r:id="rId10">
        <w:r>
          <w:rPr>
            <w:color w:val="0000EE"/>
            <w:u w:val="single"/>
          </w:rPr>
          <w:t>https://www.medrxiv.org/content/10.1101/2024.09.19.24313982v1</w:t>
        </w:r>
      </w:hyperlink>
      <w:r>
        <w:t xml:space="preserve"> - A 2024 study published on medRxiv analysed 349 GoFundMe campaigns initiated between March and June 2022 by transgender and gender diverse individuals in the United States. The research found that 61% of these campaigns originated from states with proposed or enacted anti-transgender legislation, highlighting the impact of such policies on the community's financial needs. The most common reasons for crowdfunding were housing (44.7%), daily living expenses (35.5%), and gender-affirming surgeries (28.1%).</w:t>
      </w:r>
      <w:r/>
    </w:p>
    <w:p>
      <w:pPr>
        <w:pStyle w:val="ListNumber"/>
        <w:spacing w:line="240" w:lineRule="auto"/>
        <w:ind w:left="720"/>
      </w:pPr>
      <w:r/>
      <w:hyperlink r:id="rId12">
        <w:r>
          <w:rPr>
            <w:color w:val="0000EE"/>
            <w:u w:val="single"/>
          </w:rPr>
          <w:t>https://www.medrxiv.org/content/10.1101/2024.09.19.24313982v1.full-text</w:t>
        </w:r>
      </w:hyperlink>
      <w:r>
        <w:t xml:space="preserve"> - This full-text version of the 2024 medRxiv study provides an in-depth analysis of 349 GoFundMe campaigns created by transgender and gender diverse individuals between March and June 2022. The study examines the correlation between state-level anti-transgender legislation and the prevalence of crowdfunding campaigns, revealing that 61% originated from states with such legislation. It also details the primary reasons for seeking funding, including housing, daily living expenses, and gender-affirming surgeries.</w:t>
      </w:r>
      <w:r/>
    </w:p>
    <w:p>
      <w:pPr>
        <w:pStyle w:val="ListNumber"/>
        <w:spacing w:line="240" w:lineRule="auto"/>
        <w:ind w:left="720"/>
      </w:pPr>
      <w:r/>
      <w:hyperlink r:id="rId14">
        <w:r>
          <w:rPr>
            <w:color w:val="0000EE"/>
            <w:u w:val="single"/>
          </w:rPr>
          <w:t>https://academic.oup.com/jsm/article/doi/10.1093/jsxmed/qdae001.137/7600718</w:t>
        </w:r>
      </w:hyperlink>
      <w:r>
        <w:t xml:space="preserve"> - Published in The Journal of Sexual Medicine, this 2024 study investigated the characteristics of GoFundMe campaigns for genital gender-affirming surgery in the United States. The research aimed to identify factors associated with greater funding success, highlighting the role of crowdfunding in enabling access to gender-affirming procedures, especially for individuals denied insurance coverage.</w:t>
      </w:r>
      <w:r/>
    </w:p>
    <w:p>
      <w:pPr>
        <w:pStyle w:val="ListNumber"/>
        <w:spacing w:line="240" w:lineRule="auto"/>
        <w:ind w:left="720"/>
      </w:pPr>
      <w:r/>
      <w:hyperlink r:id="rId15">
        <w:r>
          <w:rPr>
            <w:color w:val="0000EE"/>
            <w:u w:val="single"/>
          </w:rPr>
          <w:t>https://pubmed.ncbi.nlm.nih.gov/38413282/</w:t>
        </w:r>
      </w:hyperlink>
      <w:r>
        <w:t xml:space="preserve"> - This 2024 study, published in Social Science &amp; Medicine, critically analyses the visibility of transgender individuals through online medical crowdfunding. It examines how crowdfunding platforms serve as a means for transgender individuals to gain financial support for medical procedures, and the implications of this visibility on their social and economic experiences.</w:t>
      </w:r>
      <w:r/>
    </w:p>
    <w:p>
      <w:pPr>
        <w:pStyle w:val="ListNumber"/>
        <w:spacing w:line="240" w:lineRule="auto"/>
        <w:ind w:left="720"/>
      </w:pPr>
      <w:r/>
      <w:hyperlink r:id="rId13">
        <w:r>
          <w:rPr>
            <w:color w:val="0000EE"/>
            <w:u w:val="single"/>
          </w:rPr>
          <w:t>https://pmc.ncbi.nlm.nih.gov/articles/PMC8664102/</w:t>
        </w:r>
      </w:hyperlink>
      <w:r>
        <w:t xml:space="preserve"> - This 2020 study, published in the Journal of Sexual Medicine, explores how online crowdfunding platforms like GoFundMe enable patients to access gender-affirming surgeries. It provides statistical analyses of campaign characteristics and outcomes, shedding light on the financial challenges faced by transgender individuals seeking medical procedures.</w:t>
      </w:r>
      <w:r/>
    </w:p>
    <w:p>
      <w:pPr>
        <w:pStyle w:val="ListNumber"/>
        <w:spacing w:line="240" w:lineRule="auto"/>
        <w:ind w:left="720"/>
      </w:pPr>
      <w:r/>
      <w:hyperlink r:id="rId11">
        <w:r>
          <w:rPr>
            <w:color w:val="0000EE"/>
            <w:u w:val="single"/>
          </w:rPr>
          <w:t>https://www.axios.com/local/columbus/2024/03/21/ohio-lgbt-population</w:t>
        </w:r>
      </w:hyperlink>
      <w:r>
        <w:t xml:space="preserve"> - An Axios article from March 2024 reports that an estimated 6.2% of adult Ohioans identify as LGBT, compared to 5.5% nationally. The article highlights that younger Ohio residents are more likely to identify as LGBT than older residents, and discusses the implications of these findings for policy and community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crowdfunding-has-become-a-lifeline-for-lgbtq-ohioans-of-color/" TargetMode="External"/><Relationship Id="rId10" Type="http://schemas.openxmlformats.org/officeDocument/2006/relationships/hyperlink" Target="https://www.medrxiv.org/content/10.1101/2024.09.19.24313982v1" TargetMode="External"/><Relationship Id="rId11" Type="http://schemas.openxmlformats.org/officeDocument/2006/relationships/hyperlink" Target="https://www.axios.com/local/columbus/2024/03/21/ohio-lgbt-population" TargetMode="External"/><Relationship Id="rId12" Type="http://schemas.openxmlformats.org/officeDocument/2006/relationships/hyperlink" Target="https://www.medrxiv.org/content/10.1101/2024.09.19.24313982v1.full-text" TargetMode="External"/><Relationship Id="rId13" Type="http://schemas.openxmlformats.org/officeDocument/2006/relationships/hyperlink" Target="https://pmc.ncbi.nlm.nih.gov/articles/PMC8664102/" TargetMode="External"/><Relationship Id="rId14" Type="http://schemas.openxmlformats.org/officeDocument/2006/relationships/hyperlink" Target="https://academic.oup.com/jsm/article/doi/10.1093/jsxmed/qdae001.137/7600718" TargetMode="External"/><Relationship Id="rId15" Type="http://schemas.openxmlformats.org/officeDocument/2006/relationships/hyperlink" Target="https://pubmed.ncbi.nlm.nih.gov/3841328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