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Global LGBTQ Rights Watch: What’s Driving the Backlash Now</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turning their attention to a worrying global rollback: activists, commentators and diplomats are tracking new laws, university bans and cultural censorship from Senegal to Australia , and it matters because these shifts hit healthcare, travel choices and everyday safety for LGBTQ people worldwide.</w:t>
      </w:r>
      <w:r/>
    </w:p>
    <w:p>
      <w:r/>
      <w:r>
        <w:t>Essential Takeaways</w:t>
      </w:r>
      <w:r/>
      <w:r/>
    </w:p>
    <w:p>
      <w:pPr>
        <w:pStyle w:val="ListBullet"/>
        <w:spacing w:line="240" w:lineRule="auto"/>
        <w:ind w:left="720"/>
      </w:pPr>
      <w:r/>
      <w:r>
        <w:rPr>
          <w:b/>
        </w:rPr>
        <w:t>Widening restrictions:</w:t>
      </w:r>
      <w:r>
        <w:t xml:space="preserve"> Several countries are tightening legal language or policies that explicitly exclude same-sex partnerships and gender diversity, making everyday life riskier.</w:t>
      </w:r>
      <w:r/>
    </w:p>
    <w:p>
      <w:pPr>
        <w:pStyle w:val="ListBullet"/>
        <w:spacing w:line="240" w:lineRule="auto"/>
        <w:ind w:left="720"/>
      </w:pPr>
      <w:r/>
      <w:r>
        <w:rPr>
          <w:b/>
        </w:rPr>
        <w:t>Cultural chill:</w:t>
      </w:r>
      <w:r>
        <w:t xml:space="preserve"> Museums and festivals face pressure to alter or cancel queer programming, producing self-censorship and fewer public platforms for LGBTQ artists.</w:t>
      </w:r>
      <w:r/>
    </w:p>
    <w:p>
      <w:pPr>
        <w:pStyle w:val="ListBullet"/>
        <w:spacing w:line="240" w:lineRule="auto"/>
        <w:ind w:left="720"/>
      </w:pPr>
      <w:r/>
      <w:r>
        <w:rPr>
          <w:b/>
        </w:rPr>
        <w:t>Online and offline suppression:</w:t>
      </w:r>
      <w:r>
        <w:t xml:space="preserve"> Government and private actors are increasingly targeting LGBTQ speech and organising both digitally and in universities, creating new safety and access challenges.</w:t>
      </w:r>
      <w:r/>
    </w:p>
    <w:p>
      <w:pPr>
        <w:pStyle w:val="ListBullet"/>
        <w:spacing w:line="240" w:lineRule="auto"/>
        <w:ind w:left="720"/>
      </w:pPr>
      <w:r/>
      <w:r>
        <w:rPr>
          <w:b/>
        </w:rPr>
        <w:t>Healthcare under attack:</w:t>
      </w:r>
      <w:r>
        <w:t xml:space="preserve"> Political pressure has led hospitals and policymakers in some places to limit gender‑affirming care, with direct consequences for young people and families.</w:t>
      </w:r>
      <w:r/>
    </w:p>
    <w:p>
      <w:pPr>
        <w:pStyle w:val="ListBullet"/>
        <w:spacing w:line="240" w:lineRule="auto"/>
        <w:ind w:left="720"/>
      </w:pPr>
      <w:r/>
      <w:r>
        <w:rPr>
          <w:b/>
        </w:rPr>
        <w:t>Money and muscle matter:</w:t>
      </w:r>
      <w:r>
        <w:t xml:space="preserve"> Travel spending, donor influence and foreign advocacy shape local politics , consumers and activists can use economic and legal levers in response.</w:t>
      </w:r>
      <w:r/>
      <w:r/>
    </w:p>
    <w:p>
      <w:pPr>
        <w:pStyle w:val="Heading2"/>
      </w:pPr>
      <w:r>
        <w:t>Why this backlash feels different , and why it matters now</w:t>
      </w:r>
      <w:r/>
    </w:p>
    <w:p>
      <w:r/>
      <w:r>
        <w:t>The strongest observation is that restrictions are not isolated incidents; they're a pattern. From constitutional amendments to university regulations, governments and institutions are narrowing the space for LGBTQ life with a quiet, often bureaucratic efficiency. According to recent coverage and human‑rights commentary, the measures range from criminalising speech to rewriting marriage language so it explicitly excludes same‑sex unions. That matters because laws and policy ripple into healthcare access, campus life and everyday safety. Practically, if you’re planning travel, activism or study abroad, check local rules and consular guidance before you go.</w:t>
      </w:r>
      <w:r/>
    </w:p>
    <w:p>
      <w:pPr>
        <w:pStyle w:val="Heading2"/>
      </w:pPr>
      <w:r>
        <w:t>Culture wars land in museums and festivals</w:t>
      </w:r>
      <w:r/>
    </w:p>
    <w:p>
      <w:r/>
      <w:r>
        <w:t>Art institutions are becoming frontlines. High‑profile exhibitions linked to queer artists or themes have been postponed, retitled or slimmed down amid donor pressure or political scrutiny. The changes are sometimes explained as budget or curatorial decisions, but the timing repeatedly aligns with broader political signalling. For visitors and creatives, the result is less public visibility and more caution. Tip: if you want to support queer art, look for grassroots shows and independent galleries that are less exposed to large donor influence , and buy the catalogue or a print when you can.</w:t>
      </w:r>
      <w:r/>
    </w:p>
    <w:p>
      <w:pPr>
        <w:pStyle w:val="Heading2"/>
      </w:pPr>
      <w:r>
        <w:t>Digital repression and campus crackdowns , the new tactics</w:t>
      </w:r>
      <w:r/>
    </w:p>
    <w:p>
      <w:r/>
      <w:r>
        <w:t>Online suppression and campus bans have emerged as complementary tools. Legislation and platform takedowns target LGBTQ speech and organising, while several universities have introduced rules limiting student media or social discussions on gender and sexual diversity. Organisations such as PEN America and digital‑rights groups have been vocal about how these actions chill expression. If you run a student group or digital campaign, prioritise secure communication tools, document incidents, and link up with international NGOs that monitor rights abuses.</w:t>
      </w:r>
      <w:r/>
    </w:p>
    <w:p>
      <w:pPr>
        <w:pStyle w:val="Heading2"/>
      </w:pPr>
      <w:r>
        <w:t>Healthcare and legal recognition: where policy bites hardest</w:t>
      </w:r>
      <w:r/>
    </w:p>
    <w:p>
      <w:r/>
      <w:r>
        <w:t>When hospitals curtail gender‑affirming services or courts limit partners’ legal recourse, consequences are immediate and deeply personal. Political pressure on clinics has led to pauses in care in parts of the United States and elsewhere; in some countries, criminalisation and policing make even private relationships dangerous. For families and young people, that means contingency planning: keep comprehensive medical records, seek second opinions, connect with national and international medical societies, and, when possible, consult legal aid groups that specialise in LGBTQ healthcare rights.</w:t>
      </w:r>
      <w:r/>
    </w:p>
    <w:p>
      <w:pPr>
        <w:pStyle w:val="Heading2"/>
      </w:pPr>
      <w:r>
        <w:t>Money talks , how travel and philanthropy can push back</w:t>
      </w:r>
      <w:r/>
    </w:p>
    <w:p>
      <w:r/>
      <w:r>
        <w:t>Economic choices influence politics. Activists have called out tourism dollars when destinations host anti‑LGBTQ policies, and donor money can either drive progressive reform or support conservative networks overseas. That means consumers and philanthropists have leverage: choose operators and festivals that explicitly protect LGBTQ guests or artist fees, and fund registration‑fee waivers, legal defence funds, and grassroots campaigns instead of institutions that enable censorship. Even small, sustained funding to local civil‑society groups often yields better protections than one‑off large gifts that come with strings attached.</w:t>
      </w:r>
      <w:r/>
    </w:p>
    <w:p>
      <w:r/>
      <w:r>
        <w:t>Closing line Small choices , where you holiday, who you fund, which galleries you visit , can tip the balance between visibility and erasure.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[4]</w:t>
        </w:r>
      </w:hyperlink>
      <w:r>
        <w:t xml:space="preserve">, </w:t>
      </w:r>
      <w:hyperlink r:id="rId11">
        <w:r>
          <w:rPr>
            <w:color w:val="0000EE"/>
            <w:u w:val="single"/>
          </w:rPr>
          <w:t>[5]</w:t>
        </w:r>
      </w:hyperlink>
      <w:r>
        <w:t xml:space="preserve">- Paragraph 2: </w:t>
      </w:r>
      <w:hyperlink r:id="rId12">
        <w:r>
          <w:rPr>
            <w:color w:val="0000EE"/>
            <w:u w:val="single"/>
          </w:rPr>
          <w:t>[2]</w:t>
        </w:r>
      </w:hyperlink>
      <w:r>
        <w:t xml:space="preserve">, </w:t>
      </w:r>
      <w:hyperlink r:id="rId13">
        <w:r>
          <w:rPr>
            <w:color w:val="0000EE"/>
            <w:u w:val="single"/>
          </w:rPr>
          <w:t>[3]</w:t>
        </w:r>
      </w:hyperlink>
      <w:r>
        <w:t xml:space="preserve">- Paragraph 3: </w:t>
      </w:r>
      <w:hyperlink r:id="rId11">
        <w:r>
          <w:rPr>
            <w:color w:val="0000EE"/>
            <w:u w:val="single"/>
          </w:rPr>
          <w:t>[5]</w:t>
        </w:r>
      </w:hyperlink>
      <w:r>
        <w:t xml:space="preserve">, </w:t>
      </w:r>
      <w:hyperlink r:id="rId10">
        <w:r>
          <w:rPr>
            <w:color w:val="0000EE"/>
            <w:u w:val="single"/>
          </w:rPr>
          <w:t>[4]</w:t>
        </w:r>
      </w:hyperlink>
      <w:r>
        <w:t xml:space="preserve">- Paragraph 4: </w:t>
      </w:r>
      <w:hyperlink r:id="rId14">
        <w:r>
          <w:rPr>
            <w:color w:val="0000EE"/>
            <w:u w:val="single"/>
          </w:rPr>
          <w:t>[6]</w:t>
        </w:r>
      </w:hyperlink>
      <w:r>
        <w:t xml:space="preserve">, </w:t>
      </w:r>
      <w:hyperlink r:id="rId10">
        <w:r>
          <w:rPr>
            <w:color w:val="0000EE"/>
            <w:u w:val="single"/>
          </w:rPr>
          <w:t>[4]</w:t>
        </w:r>
      </w:hyperlink>
      <w:r>
        <w:t xml:space="preserve">- Paragraph 5: </w:t>
      </w:r>
      <w:hyperlink r:id="rId13">
        <w:r>
          <w:rPr>
            <w:color w:val="0000EE"/>
            <w:u w:val="single"/>
          </w:rPr>
          <w:t>[3]</w:t>
        </w:r>
      </w:hyperlink>
      <w:r>
        <w:t xml:space="preserve">, </w:t>
      </w:r>
      <w:hyperlink r:id="rId14">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https://goodmenproject.com/featured-content/global-lgbtq-rights-karel-bouley-scott-jacobsen-sjbn/</w:t>
        </w:r>
      </w:hyperlink>
      <w:r>
        <w:t xml:space="preserve"> - Please view link - unable to able to access data</w:t>
      </w:r>
      <w:r/>
    </w:p>
    <w:p>
      <w:pPr>
        <w:pStyle w:val="ListNumber"/>
        <w:spacing w:line="240" w:lineRule="auto"/>
        <w:ind w:left="720"/>
      </w:pPr>
      <w:r/>
      <w:hyperlink r:id="rId12">
        <w:r>
          <w:rPr>
            <w:color w:val="0000EE"/>
            <w:u w:val="single"/>
          </w:rPr>
          <w:t>https://www.theartnewspaper.com/2023/08/11/jk-rowling-removed-from-museum-pop-culture-harry-potter-transphobic-views</w:t>
        </w:r>
      </w:hyperlink>
      <w:r>
        <w:t xml:space="preserve"> - In August 2023, Seattle's Museum of Pop Culture removed J.K. Rowling's name from its Harry Potter exhibits due to her transphobic views, sparking discussions on museum censorship and LGBTQ+ representation.</w:t>
      </w:r>
      <w:r/>
    </w:p>
    <w:p>
      <w:pPr>
        <w:pStyle w:val="ListNumber"/>
        <w:spacing w:line="240" w:lineRule="auto"/>
        <w:ind w:left="720"/>
      </w:pPr>
      <w:r/>
      <w:hyperlink r:id="rId13">
        <w:r>
          <w:rPr>
            <w:color w:val="0000EE"/>
            <w:u w:val="single"/>
          </w:rPr>
          <w:t>https://pen.org/press-release/pen-america-condemns-censorship-and-intimidation-at-lgbtq-pride-events-in-turkiye/</w:t>
        </w:r>
      </w:hyperlink>
      <w:r>
        <w:t xml:space="preserve"> - In June 2023, PEN America condemned the Turkish government's crackdown on LGBTQ+ Pride events, highlighting the broader issue of censorship and intimidation faced by LGBTQ+ communities in Turkey.</w:t>
      </w:r>
      <w:r/>
    </w:p>
    <w:p>
      <w:pPr>
        <w:pStyle w:val="ListNumber"/>
        <w:spacing w:line="240" w:lineRule="auto"/>
        <w:ind w:left="720"/>
      </w:pPr>
      <w:r/>
      <w:hyperlink r:id="rId10">
        <w:r>
          <w:rPr>
            <w:color w:val="0000EE"/>
            <w:u w:val="single"/>
          </w:rPr>
          <w:t>https://www.cfr.org/articles/changing-landscape-global-lgbtq-rights</w:t>
        </w:r>
      </w:hyperlink>
      <w:r>
        <w:t xml:space="preserve"> - An analysis of the evolving global landscape of LGBTQ+ rights, discussing progress and challenges, including the impact of U.S. foreign policy on LGBTQ+ rights worldwide.</w:t>
      </w:r>
      <w:r/>
    </w:p>
    <w:p>
      <w:pPr>
        <w:pStyle w:val="ListNumber"/>
        <w:spacing w:line="240" w:lineRule="auto"/>
        <w:ind w:left="720"/>
      </w:pPr>
      <w:r/>
      <w:hyperlink r:id="rId11">
        <w:r>
          <w:rPr>
            <w:color w:val="0000EE"/>
            <w:u w:val="single"/>
          </w:rPr>
          <w:t>https://www.eff.org/deeplinks/2024/06/global-suppression-online-lgbtq-speech-continues</w:t>
        </w:r>
      </w:hyperlink>
      <w:r>
        <w:t xml:space="preserve"> - A report on the ongoing global suppression of online LGBTQ+ speech, examining government actions and platform policies that contribute to the silencing of LGBTQ+ voices.</w:t>
      </w:r>
      <w:r/>
    </w:p>
    <w:p>
      <w:pPr>
        <w:pStyle w:val="ListNumber"/>
        <w:spacing w:line="240" w:lineRule="auto"/>
        <w:ind w:left="720"/>
      </w:pPr>
      <w:r/>
      <w:hyperlink r:id="rId14">
        <w:r>
          <w:rPr>
            <w:color w:val="0000EE"/>
            <w:u w:val="single"/>
          </w:rPr>
          <w:t>https://www.iheart.com/podcast/966-the-karel-show-27291014/episode/this-gay-week-a-global-crackdown-338518328/</w:t>
        </w:r>
      </w:hyperlink>
      <w:r>
        <w:t xml:space="preserve"> - A podcast episode discussing recent global crackdowns on LGBTQ+ rights, including developments in Indonesia, Senegal, Bangladesh, and Australia, and the implications for the LGBTQ+ community.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goodmenproject.com/featured-content/global-lgbtq-rights-karel-bouley-scott-jacobsen-sjbn/" TargetMode="External"/><Relationship Id="rId10" Type="http://schemas.openxmlformats.org/officeDocument/2006/relationships/hyperlink" Target="https://www.cfr.org/articles/changing-landscape-global-lgbtq-rights" TargetMode="External"/><Relationship Id="rId11" Type="http://schemas.openxmlformats.org/officeDocument/2006/relationships/hyperlink" Target="https://www.eff.org/deeplinks/2024/06/global-suppression-online-lgbtq-speech-continues" TargetMode="External"/><Relationship Id="rId12" Type="http://schemas.openxmlformats.org/officeDocument/2006/relationships/hyperlink" Target="https://www.theartnewspaper.com/2023/08/11/jk-rowling-removed-from-museum-pop-culture-harry-potter-transphobic-views" TargetMode="External"/><Relationship Id="rId13" Type="http://schemas.openxmlformats.org/officeDocument/2006/relationships/hyperlink" Target="https://pen.org/press-release/pen-america-condemns-censorship-and-intimidation-at-lgbtq-pride-events-in-turkiye/" TargetMode="External"/><Relationship Id="rId14" Type="http://schemas.openxmlformats.org/officeDocument/2006/relationships/hyperlink" Target="https://www.iheart.com/podcast/966-the-karel-show-27291014/episode/this-gay-week-a-global-crackdown-338518328/"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