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Fallout from Amnesty’s “Anti-Rights” List: What UK Groups and Donors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debating loudly after Amnesty International UK published a controversial “anti-rights” report, naming 117 organisations; the list has provoked pushback from charities, MPs and donors across the UK and raised questions about definitions, evidence and who decides what counts as human-rights work.</w:t>
      </w:r>
      <w:r/>
    </w:p>
    <w:p>
      <w:r/>
      <w:r>
        <w:t>Essential Takeaways</w:t>
      </w:r>
      <w:r/>
      <w:r/>
    </w:p>
    <w:p>
      <w:pPr>
        <w:pStyle w:val="ListBullet"/>
        <w:spacing w:line="240" w:lineRule="auto"/>
        <w:ind w:left="720"/>
      </w:pPr>
      <w:r/>
      <w:r>
        <w:rPr>
          <w:b/>
        </w:rPr>
        <w:t>Report released:</w:t>
      </w:r>
      <w:r>
        <w:t xml:space="preserve"> Amnesty International UK published a dossier identifying a network of 117 organisations it describes as part of an “anti-rights” movement. </w:t>
      </w:r>
      <w:r/>
    </w:p>
    <w:p>
      <w:pPr>
        <w:pStyle w:val="ListBullet"/>
        <w:spacing w:line="240" w:lineRule="auto"/>
        <w:ind w:left="720"/>
      </w:pPr>
      <w:r/>
      <w:r>
        <w:rPr>
          <w:b/>
        </w:rPr>
        <w:t>Who’s named:</w:t>
      </w:r>
      <w:r>
        <w:t xml:space="preserve"> The list includes women's groups, faith-based charities and campaigning bodies accused of opposing sex, gender and LGBT+ equality. </w:t>
      </w:r>
      <w:r/>
    </w:p>
    <w:p>
      <w:pPr>
        <w:pStyle w:val="ListBullet"/>
        <w:spacing w:line="240" w:lineRule="auto"/>
        <w:ind w:left="720"/>
      </w:pPr>
      <w:r/>
      <w:r>
        <w:rPr>
          <w:b/>
        </w:rPr>
        <w:t>Immediate reaction:</w:t>
      </w:r>
      <w:r>
        <w:t xml:space="preserve"> Several organisations named have publicly rejected the label and some MPs have tabled motions criticising the report. </w:t>
      </w:r>
      <w:r/>
    </w:p>
    <w:p>
      <w:pPr>
        <w:pStyle w:val="ListBullet"/>
        <w:spacing w:line="240" w:lineRule="auto"/>
        <w:ind w:left="720"/>
      </w:pPr>
      <w:r/>
      <w:r>
        <w:rPr>
          <w:b/>
        </w:rPr>
        <w:t>Practical worry:</w:t>
      </w:r>
      <w:r>
        <w:t xml:space="preserve"> Charities and funders face reputational and operational uncertainty; boards are reassessing policies and communications. </w:t>
      </w:r>
      <w:r/>
    </w:p>
    <w:p>
      <w:pPr>
        <w:pStyle w:val="ListBullet"/>
        <w:spacing w:line="240" w:lineRule="auto"/>
        <w:ind w:left="720"/>
      </w:pPr>
      <w:r/>
      <w:r>
        <w:rPr>
          <w:b/>
        </w:rPr>
        <w:t>For the public:</w:t>
      </w:r>
      <w:r>
        <w:t xml:space="preserve"> Look for transparent evidence, clear definitions and due process when organisations are publicly branded as rights-threatening.</w:t>
      </w:r>
      <w:r/>
      <w:r/>
    </w:p>
    <w:p>
      <w:pPr>
        <w:pStyle w:val="Heading2"/>
      </w:pPr>
      <w:r>
        <w:t>What Amnesty’s report actually says , and why it lands hard</w:t>
      </w:r>
      <w:r/>
    </w:p>
    <w:p>
      <w:r/>
      <w:r>
        <w:t>The clearest fact is the report frames a broad range of activism as hostile to human rights, and that rhetorical move feels sharp and personal. Amnesty International UK set out to map what it calls a growing anti-rights ecosystem, linking groups that campaign on sex, gender, religion and free speech. According to Amnesty’s material, the aim is to show patterns of coordinated activity that undermine established human-rights standards.</w:t>
      </w:r>
      <w:r/>
    </w:p>
    <w:p>
      <w:r/>
      <w:r>
        <w:t>That framing has immediate impact because it shifts the conversation from isolated disputes to a network problem. For campaigners on both sides, wording matters: critics say the phrase “anti-rights” is Orwellian and silences legitimate debates about sex-based protections, faith-based beliefs and charity activities. Supporters of the report argue it helps donors and the public spot organised campaigns that can erode civil liberties.</w:t>
      </w:r>
      <w:r/>
    </w:p>
    <w:p>
      <w:pPr>
        <w:pStyle w:val="Heading2"/>
      </w:pPr>
      <w:r>
        <w:t>Who’s been named , and the reactions you’ll see in public life</w:t>
      </w:r>
      <w:r/>
    </w:p>
    <w:p>
      <w:r/>
      <w:r>
        <w:t>The list includes well-known women’s services, faith organisations and advocacy groups, some of which offer services to survivors of sexual violence or campaigning on biological sex protections. Several of the named organisations have issued swift denials and complaints, saying the label misrepresents their work and risks public hostility.</w:t>
      </w:r>
      <w:r/>
    </w:p>
    <w:p>
      <w:r/>
      <w:r>
        <w:t>Politically, the fallout has been noisy: MPs have tabled early-day motions and public comment from parliamentarians reflects concern about fairness and evidence. For charities, being publicly listed can mean media scrutiny, lost funding or new enquiries , so boards are already doing the sensible thing and revisiting safeguarding, public statements and impact data.</w:t>
      </w:r>
      <w:r/>
    </w:p>
    <w:p>
      <w:pPr>
        <w:pStyle w:val="Heading2"/>
      </w:pPr>
      <w:r>
        <w:t>Why definitions matter: rights, debate and the risk of polarisation</w:t>
      </w:r>
      <w:r/>
    </w:p>
    <w:p>
      <w:r/>
      <w:r>
        <w:t>At heart this is a definitional fight. Human-rights law protects a range of rights that sometimes sit in tension , free expression, privacy, safety, equality and religious freedom. Amnesty’s report tries to navigate those tensions by categorising activism that, it says, reduces rights for marginalised people. Critics say that approach flattens nuance and treats orthodox religious views or single-sex services as equivalent to deliberate rights erosion.</w:t>
      </w:r>
      <w:r/>
    </w:p>
    <w:p>
      <w:r/>
      <w:r>
        <w:t>For anyone deciding where to donate or whom to trust, the practical takeaway is to ask for clarity: what evidence links an organisation to coordinated harm, and how does the report weigh intention versus impact? Expect more public debate rather than neat answers, and be wary of binary labels that tidy complex conflicts into two camps.</w:t>
      </w:r>
      <w:r/>
    </w:p>
    <w:p>
      <w:pPr>
        <w:pStyle w:val="Heading2"/>
      </w:pPr>
      <w:r>
        <w:t>What this means for donors, regulators and charities themselves</w:t>
      </w:r>
      <w:r/>
    </w:p>
    <w:p>
      <w:r/>
      <w:r>
        <w:t>Donors should be alert but measured. A public listing can trigger reputational damage even when an organisation’s work is lawful and focused on vulnerable people. Major funders often run quick reviews when a grantee is named in controversy; that’s prudent, but it should be balanced with fair process and direct conversation with the organisations involved.</w:t>
      </w:r>
      <w:r/>
    </w:p>
    <w:p>
      <w:r/>
      <w:r>
        <w:t>Regulators and charity trustees face a similar dilemma: transparency and accountability are vital, yet knee-jerk responses can hurt service users. Boards ought to update risk registers, confirm safeguarding and legal compliance, and prepare clear communications that explain purpose and evidence of impact. That protects beneficiaries as much as the charities’ reputations.</w:t>
      </w:r>
      <w:r/>
    </w:p>
    <w:p>
      <w:pPr>
        <w:pStyle w:val="Heading2"/>
      </w:pPr>
      <w:r>
        <w:t>Where this debate is likely to go next</w:t>
      </w:r>
      <w:r/>
    </w:p>
    <w:p>
      <w:r/>
      <w:r>
        <w:t>Expect legal and parliamentary scrutiny alongside continued public discussion. Some organisations named may seek corrections or legal redress; others will double down on their messaging. Meanwhile, conversations about how civil-society surveillance, social media and funder pressure reshape advocacy are only going to intensify.</w:t>
      </w:r>
      <w:r/>
    </w:p>
    <w:p>
      <w:r/>
      <w:r>
        <w:t>For the public, this is a prompt to look beyond headlines and ask for evidence. For campaigners, it’s a reminder that labels can escalate disagreement into a culture-war moment. And for charities, it’s a practical nudge to document impact, keep governance tight and explain how their work protects people.</w:t>
      </w:r>
      <w:r/>
    </w:p>
    <w:p>
      <w:r/>
      <w:r>
        <w:t>It's a small but important moment that invites clearer definitions, steadier evidence and fairer processes.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https://anglicanmainstream.org/article/the-banality-of-amnesty-international/</w:t>
        </w:r>
      </w:hyperlink>
      <w:r>
        <w:t xml:space="preserve"> - Please view link - unable to able to access data</w:t>
      </w:r>
      <w:r/>
    </w:p>
    <w:p>
      <w:pPr>
        <w:pStyle w:val="ListNumber"/>
        <w:spacing w:line="240" w:lineRule="auto"/>
        <w:ind w:left="720"/>
      </w:pPr>
      <w:r/>
      <w:hyperlink r:id="rId10">
        <w:r>
          <w:rPr>
            <w:color w:val="0000EE"/>
            <w:u w:val="single"/>
          </w:rPr>
          <w:t>https://www.amnesty.org.uk/about/strategy-and-impact/our-impact/uncovering-a-growing-anti-human-rights-movement/</w:t>
        </w:r>
      </w:hyperlink>
      <w:r>
        <w:t xml:space="preserve"> - Amnesty International UK's research has exposed a growing anti-human rights movement in the UK, targeting reproductive freedoms, access to abortion, and the rights of LGBTI people. Between November 2024 and June 2025, they uncovered a rapidly expanding network of organisations working to undermine human rights protections and spread fear. This deliberate and coordinated attack is led by individuals weaponising misinformation and exploiting existing prejudice to sow divisions. The goal is to roll back hard-won rights, undermine equality, and rewrite the rules on who deserves dignity and freedom.</w:t>
      </w:r>
      <w:r/>
    </w:p>
    <w:p>
      <w:pPr>
        <w:pStyle w:val="ListNumber"/>
        <w:spacing w:line="240" w:lineRule="auto"/>
        <w:ind w:left="720"/>
      </w:pPr>
      <w:r/>
      <w:hyperlink r:id="rId11">
        <w:r>
          <w:rPr>
            <w:color w:val="0000EE"/>
            <w:u w:val="single"/>
          </w:rPr>
          <w:t>https://www.amnesty.org.uk/knowledge-hub/all-resources/the-anti-rights-movement/</w:t>
        </w:r>
      </w:hyperlink>
      <w:r>
        <w:t xml:space="preserve"> - Amnesty International UK's analysis maps the nature and finances of 65 anti-rights groups operating across the UK, including anti-abortion organisations, groups promoting so-called 'conversion therapy', UK branches of powerful US-based organisations, and ultra-conservative Christian groups. Many of these groups have emerged since 2015. Three-quarters are registered either as a charity or a company. Thirty-two of these groups spent a staggering £106 million between 2019 and 2023, an increase of over 33%, all with the aim to undermine freedoms, restrict access to essential healthcare, and roll back rights.</w:t>
      </w:r>
      <w:r/>
    </w:p>
    <w:p>
      <w:pPr>
        <w:pStyle w:val="ListNumber"/>
        <w:spacing w:line="240" w:lineRule="auto"/>
        <w:ind w:left="720"/>
      </w:pPr>
      <w:r/>
      <w:hyperlink r:id="rId15">
        <w:r>
          <w:rPr>
            <w:color w:val="0000EE"/>
            <w:u w:val="single"/>
          </w:rPr>
          <w:t>https://www.amnesty.org/en/latest/news/2026/02/uk-court-draws-line-in-the-sand-against-misuse-of-terrorism-powers/</w:t>
        </w:r>
      </w:hyperlink>
      <w:r>
        <w:t xml:space="preserve"> - In response to the judgment in the judicial review of the proscription of Palestine Action, Tom Southerden, Amnesty International UK's Law and Human Rights Director, stated that the High Court's decision sends a clear message: the government cannot simply reach for sweeping counter-terrorism powers to silence critics or suppress dissent. This ruling is a vital affirmation of the right to protest at a time when it has been under sustained and deliberate attack, highlighting the dangers of treating direct action as terrorism.</w:t>
      </w:r>
      <w:r/>
    </w:p>
    <w:p>
      <w:pPr>
        <w:pStyle w:val="ListNumber"/>
        <w:spacing w:line="240" w:lineRule="auto"/>
        <w:ind w:left="720"/>
      </w:pPr>
      <w:r/>
      <w:hyperlink r:id="rId14">
        <w:r>
          <w:rPr>
            <w:color w:val="0000EE"/>
            <w:u w:val="single"/>
          </w:rPr>
          <w:t>https://www.amnesty.org.uk/knowledge-hub/all-resources/like-a-snowball/</w:t>
        </w:r>
      </w:hyperlink>
      <w:r>
        <w:t xml:space="preserve"> - Over the past ten years, the situation for LGBTI+ people in the UK has deteriorated, with an organised backlash against trans people's rights starting in 2017/18. This briefing maps the gender critical movement in the UK and the role of the media in normalising anti-trans rhetoric. Between January 2020 and April 2025, media coverage of issues about trans people has been excessively high compared to the size of the trans population, their role in society, and public interest in these topics.</w:t>
      </w:r>
      <w:r/>
    </w:p>
    <w:p>
      <w:pPr>
        <w:pStyle w:val="ListNumber"/>
        <w:spacing w:line="240" w:lineRule="auto"/>
        <w:ind w:left="720"/>
      </w:pPr>
      <w:r/>
      <w:hyperlink r:id="rId12">
        <w:r>
          <w:rPr>
            <w:color w:val="0000EE"/>
            <w:u w:val="single"/>
          </w:rPr>
          <w:t>https://care.org.uk/news/2026/07/care-appears-on-anti-rights-blacklist</w:t>
        </w:r>
      </w:hyperlink>
      <w:r>
        <w:t xml:space="preserve"> - Earlier this month, the UK branch of Amnesty International published a report titled 'A growing threat: the anti-rights movement in the UK'. Taking aim at 117 organisations they have identified as 'anti-rights', the piece frames itself as a 'follow the money' exercise to chart the growth and influence of those it deems a threat to human rights in the UK. CARE, a Christian organisation, was placed in the 'ultra-Conservative Christian policy and advocacy' category, along with gender critical groups and organisations advocating for the rights of the unborn.</w:t>
      </w:r>
      <w:r/>
    </w:p>
    <w:p>
      <w:pPr>
        <w:pStyle w:val="ListNumber"/>
        <w:spacing w:line="240" w:lineRule="auto"/>
        <w:ind w:left="720"/>
      </w:pPr>
      <w:r/>
      <w:hyperlink r:id="rId13">
        <w:r>
          <w:rPr>
            <w:color w:val="0000EE"/>
            <w:u w:val="single"/>
          </w:rPr>
          <w:t>https://edm.parliament.uk/early-day-motion/66338/amnesty-international-uk-report-on-the-antirights-movement-in-the-uk</w:t>
        </w:r>
      </w:hyperlink>
      <w:r>
        <w:t xml:space="preserve"> - An Early Day Motion in the UK Parliament expresses extreme concern at Amnesty International UK's report entitled 'A Growing Threat: the Anti-Rights Movement in the UK', published on 8 July. The motion condemns its depiction and listing of organisations defending the rights of women, girls, children, and gay and bisexual people as anti-rights on the basis of them being gender critical. It also notes that gender critical belief is a protected belief under the Equality Act 2010 and reflects the views of the majority of the public.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the-banality-of-amnesty-international/" TargetMode="External"/><Relationship Id="rId10" Type="http://schemas.openxmlformats.org/officeDocument/2006/relationships/hyperlink" Target="https://www.amnesty.org.uk/about/strategy-and-impact/our-impact/uncovering-a-growing-anti-human-rights-movement/" TargetMode="External"/><Relationship Id="rId11" Type="http://schemas.openxmlformats.org/officeDocument/2006/relationships/hyperlink" Target="https://www.amnesty.org.uk/knowledge-hub/all-resources/the-anti-rights-movement/" TargetMode="External"/><Relationship Id="rId12" Type="http://schemas.openxmlformats.org/officeDocument/2006/relationships/hyperlink" Target="https://care.org.uk/news/2026/07/care-appears-on-anti-rights-blacklist" TargetMode="External"/><Relationship Id="rId13" Type="http://schemas.openxmlformats.org/officeDocument/2006/relationships/hyperlink" Target="https://edm.parliament.uk/early-day-motion/66338/amnesty-international-uk-report-on-the-antirights-movement-in-the-uk" TargetMode="External"/><Relationship Id="rId14" Type="http://schemas.openxmlformats.org/officeDocument/2006/relationships/hyperlink" Target="https://www.amnesty.org.uk/knowledge-hub/all-resources/like-a-snowball/" TargetMode="External"/><Relationship Id="rId15" Type="http://schemas.openxmlformats.org/officeDocument/2006/relationships/hyperlink" Target="https://www.amnesty.org/en/latest/news/2026/02/uk-court-draws-line-in-the-sand-against-misuse-of-terrorism-pow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