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Films Exploring Queer Life in Macho Professions: Why Class and Work Cultures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that interrogate masculinity and class , films like Jack’s latest set across Wales, Scotland and France make clear why where you work shapes who you can be, and why queer characters still face barriers in traditionally macho trades. These films are gritty, human and quietly political, and they matter for viewers and careers alike.</w:t>
      </w:r>
      <w:r/>
    </w:p>
    <w:p>
      <w:r/>
      <w:r>
        <w:t>Essential Takeaways</w:t>
      </w:r>
      <w:r/>
      <w:r/>
    </w:p>
    <w:p>
      <w:pPr>
        <w:pStyle w:val="ListBullet"/>
        <w:spacing w:line="240" w:lineRule="auto"/>
        <w:ind w:left="720"/>
      </w:pPr>
      <w:r/>
      <w:r>
        <w:rPr>
          <w:b/>
        </w:rPr>
        <w:t>Class shapes visibility:</w:t>
      </w:r>
      <w:r>
        <w:t xml:space="preserve"> Characters in working‑class, male‑dominated jobs often hide queer identities because trade cultures prize toughness and conformity.</w:t>
      </w:r>
      <w:r/>
    </w:p>
    <w:p>
      <w:pPr>
        <w:pStyle w:val="ListBullet"/>
        <w:spacing w:line="240" w:lineRule="auto"/>
        <w:ind w:left="720"/>
      </w:pPr>
      <w:r/>
      <w:r>
        <w:rPr>
          <w:b/>
        </w:rPr>
        <w:t>Geography matters:</w:t>
      </w:r>
      <w:r>
        <w:t xml:space="preserve"> Rural or small‑town settings intensify isolation; moving between Wales, Scotland and France creates stark cultural contrasts on screen.</w:t>
      </w:r>
      <w:r/>
    </w:p>
    <w:p>
      <w:pPr>
        <w:pStyle w:val="ListBullet"/>
        <w:spacing w:line="240" w:lineRule="auto"/>
        <w:ind w:left="720"/>
      </w:pPr>
      <w:r/>
      <w:r>
        <w:rPr>
          <w:b/>
        </w:rPr>
        <w:t>Performance over labels:</w:t>
      </w:r>
      <w:r>
        <w:t xml:space="preserve"> Actors and filmmakers use subtle gestures and domestic detail to show layered queer lives rather than relying on explicit exposition.</w:t>
      </w:r>
      <w:r/>
    </w:p>
    <w:p>
      <w:pPr>
        <w:pStyle w:val="ListBullet"/>
        <w:spacing w:line="240" w:lineRule="auto"/>
        <w:ind w:left="720"/>
      </w:pPr>
      <w:r/>
      <w:r>
        <w:rPr>
          <w:b/>
        </w:rPr>
        <w:t>Practical viewing tip:</w:t>
      </w:r>
      <w:r>
        <w:t xml:space="preserve"> Look for films with strong sense of place , the sets, accents and workplaces give clues to pressure points and safe spaces.</w:t>
      </w:r>
      <w:r/>
    </w:p>
    <w:p>
      <w:pPr>
        <w:pStyle w:val="ListBullet"/>
        <w:spacing w:line="240" w:lineRule="auto"/>
        <w:ind w:left="720"/>
      </w:pPr>
      <w:r/>
      <w:r>
        <w:rPr>
          <w:b/>
        </w:rPr>
        <w:t>Why it resonates:</w:t>
      </w:r>
      <w:r>
        <w:t xml:space="preserve"> These stories feel lived‑in and honest; audiences connect to the tender private moments beneath a rough public exterior.</w:t>
      </w:r>
      <w:r/>
      <w:r/>
    </w:p>
    <w:p>
      <w:pPr>
        <w:pStyle w:val="Heading2"/>
      </w:pPr>
      <w:r>
        <w:t>Why class and job‑culture are the real antagonists here</w:t>
      </w:r>
      <w:r/>
    </w:p>
    <w:p>
      <w:r/>
      <w:r>
        <w:t>The sharpest films in this vein put class at the centre, not as a backdrop but as a pressure that shapes identity. Critics have noted how certain trades and professions prize a narrow version of masculinity, and the narrative tension often comes from a character’s daily negotiation between public performance and private truth. On screen you’ll feel the weight of routine , the smell of the factory floor, the quiet after a long shift , and these small sensory details make the stakes real. For viewers, the takeaway is clear: it's not only individuals who need to change, it's the workplaces and communities around them.</w:t>
      </w:r>
      <w:r/>
    </w:p>
    <w:p>
      <w:pPr>
        <w:pStyle w:val="Heading2"/>
      </w:pPr>
      <w:r>
        <w:t>Small towns, big expectations , geography amplifies the conflict</w:t>
      </w:r>
      <w:r/>
    </w:p>
    <w:p>
      <w:r/>
      <w:r>
        <w:t>A move from a tight Welsh village to a Scottish town or a French city isn’t presented as mere scenery; it’s a social experiment. Rural settings on film often communicate claustrophobia: everyone watches everyone, gossip travels fast, and queer lives can become risky to enact publicly. By contrast, urban or cross‑border settings can provide pockets of anonymity and new social scripts. Filmmakers use these shifts to explore how mobility offers both liberation and exile, and why many queer characters choose to leave or reinvent themselves rather than confront entrenched workplace norms.</w:t>
      </w:r>
      <w:r/>
    </w:p>
    <w:p>
      <w:pPr>
        <w:pStyle w:val="Heading2"/>
      </w:pPr>
      <w:r>
        <w:t>Masculinity on the clock: how professions police identity</w:t>
      </w:r>
      <w:r/>
    </w:p>
    <w:p>
      <w:r/>
      <w:r>
        <w:t>Whether the setting is a shipyard, a construction site or an all‑male office, the code of conduct in male‑dominated workplaces is a recurring motif. Films show how banter becomes policing, how jokes map boundaries, and how career progression may hinge on fitting a particular mould. Directors and actors often rely on micro‑expressions and silences to portray this policing , a look at a locker, an awkward handshake, or the way uniforms flatten individuality. If you’re choosing what to watch for insight, pick films that linger on the workday; they reveal the slow accumulation of pressure more effectively than a single dramatic confrontation.</w:t>
      </w:r>
      <w:r/>
    </w:p>
    <w:p>
      <w:pPr>
        <w:pStyle w:val="Heading2"/>
      </w:pPr>
      <w:r>
        <w:t>Intimacy as resistance , the small gestures that change perception</w:t>
      </w:r>
      <w:r/>
    </w:p>
    <w:p>
      <w:r/>
      <w:r>
        <w:t>The most affecting moments are rarely big speeches; they’re the quiet acts of care that reveal another life , a packed lunch, a shared cigarette, a hidden photograph. These intimate details turn what might seem like ordinary scenes into acts of resistance against a macho script. You start to root for tiny rebellions: a partner introduced in private, a subtle refusal to join a demeaning rite. Filmmakers who trust actors to convey these moments create authenticity, and audiences respond because those moments feel recognisably human rather than theatrical.</w:t>
      </w:r>
      <w:r/>
    </w:p>
    <w:p>
      <w:pPr>
        <w:pStyle w:val="Heading2"/>
      </w:pPr>
      <w:r>
        <w:t>What filmmakers and viewers can take away</w:t>
      </w:r>
      <w:r/>
    </w:p>
    <w:p>
      <w:r/>
      <w:r>
        <w:t>Stories that interrogate class and workplace culture don’t just entertain , they open conversations about inclusion, policy and everyday kindness. For creators, the practical work is simple: listen to people who’ve lived this reality, cast authentically, and pay attention to the textures of work life. For viewers, the practical advice is to watch with curiosity: notice how a job shapes gestures and choices, and consider which scenes opened your understanding. Films can’t change institutions alone, but they can change hearts and language, and that’s a start.</w:t>
      </w:r>
      <w:r/>
    </w:p>
    <w:p>
      <w:r/>
      <w:r>
        <w:t>It's a small change in perspective that can reshape the way we see work, desire and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https://www.standard.co.uk/culture/film/welsh-jack-scottish-french-france-b1290672.html</w:t>
        </w:r>
      </w:hyperlink>
      <w:r>
        <w:t xml:space="preserve"> - Please view link - unable to able to access data</w:t>
      </w:r>
      <w:r/>
    </w:p>
    <w:p>
      <w:pPr>
        <w:pStyle w:val="ListNumber"/>
        <w:spacing w:line="240" w:lineRule="auto"/>
        <w:ind w:left="720"/>
      </w:pPr>
      <w:r/>
      <w:hyperlink r:id="rId10">
        <w:r>
          <w:rPr>
            <w:color w:val="0000EE"/>
            <w:u w:val="single"/>
          </w:rPr>
          <w:t>https://journals.sagepub.com/doi/10.1177/0891243205277253</w:t>
        </w:r>
      </w:hyperlink>
      <w:r>
        <w:t xml:space="preserve"> - This article examines how organizations are both gendered and classed, focusing on the performance of sexuality in four exotic dance clubs in the Southwestern United States. It finds that strip clubs construct sexuality to align with client class norms and assumptions, as well as with how the clubs and dancers believe working-class or middle-class sexuality should be expressed. Class differences are represented as sexual differences in concrete ways, such as the appearance of dancers and other staff, dancing and performance styles, and interactions between dancers and customers.</w:t>
      </w:r>
      <w:r/>
    </w:p>
    <w:p>
      <w:pPr>
        <w:pStyle w:val="ListNumber"/>
        <w:spacing w:line="240" w:lineRule="auto"/>
        <w:ind w:left="720"/>
      </w:pPr>
      <w:r/>
      <w:hyperlink r:id="rId12">
        <w:r>
          <w:rPr>
            <w:color w:val="0000EE"/>
            <w:u w:val="single"/>
          </w:rPr>
          <w:t>https://bera-journals.onlinelibrary.wiley.com/doi/abs/10.1080/0141192990250402</w:t>
        </w:r>
      </w:hyperlink>
      <w:r>
        <w:t xml:space="preserve"> - This study explores the underplaying of sexual politics in representations of changing social relations within institutional sites like family life, schooling, training, and the workplace. It highlights how emerging identities are made invisible due to the lack of attention to sexual politics in these contexts, making it difficult to understand the rapidly changing British society.</w:t>
      </w:r>
      <w:r/>
    </w:p>
    <w:p>
      <w:pPr>
        <w:pStyle w:val="ListNumber"/>
        <w:spacing w:line="240" w:lineRule="auto"/>
        <w:ind w:left="720"/>
      </w:pPr>
      <w:r/>
      <w:hyperlink r:id="rId11">
        <w:r>
          <w:rPr>
            <w:color w:val="0000EE"/>
            <w:u w:val="single"/>
          </w:rPr>
          <w:t>https://pure.psu.edu/en/publications/gendered-queer-occupational-disparities-in-male-dominated-profess/</w:t>
        </w:r>
      </w:hyperlink>
      <w:r>
        <w:t xml:space="preserve"> - This study investigates sectoral placement and wage disparities between heterosexual and sexual minority professionals in male-dominated STEM fields, specifically computer science, engineering, and mathematics. Using survey data from 3,713 cisgender CSEM professionals in the United States, it analyzes how sexual orientation and gender intersect to shape occupational outcomes, revealing significant disparities.</w:t>
      </w:r>
      <w:r/>
    </w:p>
    <w:p>
      <w:pPr>
        <w:pStyle w:val="ListNumber"/>
        <w:spacing w:line="240" w:lineRule="auto"/>
        <w:ind w:left="720"/>
      </w:pPr>
      <w:r/>
      <w:hyperlink r:id="rId13">
        <w:r>
          <w:rPr>
            <w:color w:val="0000EE"/>
            <w:u w:val="single"/>
          </w:rPr>
          <w:t>https://pubmed.ncbi.nlm.nih.gov/31090501/</w:t>
        </w:r>
      </w:hyperlink>
      <w:r>
        <w:t xml:space="preserve"> - This research investigates gender and sexuality identity management among gay men in the workplace. Thirty self-identified gay men participated in semi-structured, in-depth interviews, providing accounts of how they manage performances of gender and sexuality in their professional environments, highlighting the complexities of navigating these identities in the workplace.</w:t>
      </w:r>
      <w:r/>
    </w:p>
    <w:p>
      <w:pPr>
        <w:pStyle w:val="ListNumber"/>
        <w:spacing w:line="240" w:lineRule="auto"/>
        <w:ind w:left="720"/>
      </w:pPr>
      <w:r/>
      <w:hyperlink r:id="rId14">
        <w:r>
          <w:rPr>
            <w:color w:val="0000EE"/>
            <w:u w:val="single"/>
          </w:rPr>
          <w:t>https://onlinelibrary.wiley.com/doi/abs/10.1111/gwao.12469</w:t>
        </w:r>
      </w:hyperlink>
      <w:r>
        <w:t xml:space="preserve"> - This article examines how older gay men practice masculinity in heteronormative organizational settings. Through in-depth interviews, it identifies two key masculinity practices: maintaining heteronormativity and embodying change. The study shows that while some practices conform to hegemonic masculinity, others leverage accumulated life experiences to negotiate heteronormativity for change, though such agency is constrained by individuals’ commitments to heteronormativity.</w:t>
      </w:r>
      <w:r/>
    </w:p>
    <w:p>
      <w:pPr>
        <w:pStyle w:val="ListNumber"/>
        <w:spacing w:line="240" w:lineRule="auto"/>
        <w:ind w:left="720"/>
      </w:pPr>
      <w:r/>
      <w:hyperlink r:id="rId15">
        <w:r>
          <w:rPr>
            <w:color w:val="0000EE"/>
            <w:u w:val="single"/>
          </w:rPr>
          <w:t>https://www.tandfonline.com/doi/abs/10.1080/00918369.2013.824341</w:t>
        </w:r>
      </w:hyperlink>
      <w:r>
        <w:t xml:space="preserve"> - This study explores how Western-oriented workplaces use professionalism as a normative value to sustain and promote a cohesive work environment. It examines the experiences of LGBTQ individuals in international development workplaces, highlighting how heteronormative professional environments can marginalize sexual minority workers and affect their professional identities.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culture/film/welsh-jack-scottish-french-france-b1290672.html" TargetMode="External"/><Relationship Id="rId10" Type="http://schemas.openxmlformats.org/officeDocument/2006/relationships/hyperlink" Target="https://journals.sagepub.com/doi/10.1177/0891243205277253" TargetMode="External"/><Relationship Id="rId11" Type="http://schemas.openxmlformats.org/officeDocument/2006/relationships/hyperlink" Target="https://pure.psu.edu/en/publications/gendered-queer-occupational-disparities-in-male-dominated-profess/" TargetMode="External"/><Relationship Id="rId12" Type="http://schemas.openxmlformats.org/officeDocument/2006/relationships/hyperlink" Target="https://bera-journals.onlinelibrary.wiley.com/doi/abs/10.1080/0141192990250402" TargetMode="External"/><Relationship Id="rId13" Type="http://schemas.openxmlformats.org/officeDocument/2006/relationships/hyperlink" Target="https://pubmed.ncbi.nlm.nih.gov/31090501/" TargetMode="External"/><Relationship Id="rId14" Type="http://schemas.openxmlformats.org/officeDocument/2006/relationships/hyperlink" Target="https://onlinelibrary.wiley.com/doi/abs/10.1111/gwao.12469" TargetMode="External"/><Relationship Id="rId15" Type="http://schemas.openxmlformats.org/officeDocument/2006/relationships/hyperlink" Target="https://www.tandfonline.com/doi/abs/10.1080/00918369.2013.8243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