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Talk About Pride: Why Visibility Matters for Equal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conversations about Pride often start with discomfort , but they matter. Across communities, from conservatives to liberals, Pride asks a simple thing: equal human rights. Here’s why visibility, protest and colourful celebration are practical tools for justice, and how to discuss them without shutting anyone down.</w:t>
      </w:r>
      <w:r/>
    </w:p>
    <w:p>
      <w:r/>
      <w:r>
        <w:t>Essential Takeaways</w:t>
      </w:r>
      <w:r/>
      <w:r/>
    </w:p>
    <w:p>
      <w:pPr>
        <w:pStyle w:val="ListBullet"/>
        <w:spacing w:line="240" w:lineRule="auto"/>
        <w:ind w:left="720"/>
      </w:pPr>
      <w:r/>
      <w:r>
        <w:rPr>
          <w:b/>
        </w:rPr>
        <w:t>Equality is indivisible:</w:t>
      </w:r>
      <w:r>
        <w:t xml:space="preserve"> Human rights apply to everyone, and LGBTQ+ rights are part of that single bundle.</w:t>
      </w:r>
      <w:r/>
    </w:p>
    <w:p>
      <w:pPr>
        <w:pStyle w:val="ListBullet"/>
        <w:spacing w:line="240" w:lineRule="auto"/>
        <w:ind w:left="720"/>
      </w:pPr>
      <w:r/>
      <w:r>
        <w:rPr>
          <w:b/>
        </w:rPr>
        <w:t>Visibility persuades:</w:t>
      </w:r>
      <w:r>
        <w:t xml:space="preserve"> Pride events speak to undecided people more effectively than policy papers or lectures.</w:t>
      </w:r>
      <w:r/>
    </w:p>
    <w:p>
      <w:pPr>
        <w:pStyle w:val="ListBullet"/>
        <w:spacing w:line="240" w:lineRule="auto"/>
        <w:ind w:left="720"/>
      </w:pPr>
      <w:r/>
      <w:r>
        <w:rPr>
          <w:b/>
        </w:rPr>
        <w:t>Respectful debate helps:</w:t>
      </w:r>
      <w:r>
        <w:t xml:space="preserve"> You can question tactics without denying rights , tone matters.</w:t>
      </w:r>
      <w:r/>
    </w:p>
    <w:p>
      <w:pPr>
        <w:pStyle w:val="ListBullet"/>
        <w:spacing w:line="240" w:lineRule="auto"/>
        <w:ind w:left="720"/>
      </w:pPr>
      <w:r/>
      <w:r>
        <w:rPr>
          <w:b/>
        </w:rPr>
        <w:t>Practical guidance:</w:t>
      </w:r>
      <w:r>
        <w:t xml:space="preserve"> There are simple ways to support safety, inclusion and constructive conversation.</w:t>
      </w:r>
      <w:r/>
    </w:p>
    <w:p>
      <w:pPr>
        <w:pStyle w:val="ListBullet"/>
        <w:spacing w:line="240" w:lineRule="auto"/>
        <w:ind w:left="720"/>
      </w:pPr>
      <w:r/>
      <w:r>
        <w:rPr>
          <w:b/>
        </w:rPr>
        <w:t>Look ahead:</w:t>
      </w:r>
      <w:r>
        <w:t xml:space="preserve"> Visibility builds legal and social change; the strategy evolves as rights expand globally.</w:t>
      </w:r>
      <w:r/>
      <w:r/>
    </w:p>
    <w:p>
      <w:pPr>
        <w:pStyle w:val="Heading2"/>
      </w:pPr>
      <w:r>
        <w:t>Why Pride isn’t just a parade , it’s a rights claim</w:t>
      </w:r>
      <w:r/>
    </w:p>
    <w:p>
      <w:r/>
      <w:r>
        <w:t>Pride looks loud and colourful because it needs to be seen; that visibility is the point. According to human-rights organisations, bringing marginalised lives into public view is a proven step towards legal recognition and everyday safety. When people see families, couples and workers they hadn’t noticed before, empathy and understanding shift in real life, not only in theory. If you want to protect civil liberties, visibility is one of the tools that gets results.</w:t>
      </w:r>
      <w:r/>
    </w:p>
    <w:p>
      <w:pPr>
        <w:pStyle w:val="Heading2"/>
      </w:pPr>
      <w:r>
        <w:t>“Don’t parade” is about taste, not rights , so how do you reply?</w:t>
      </w:r>
      <w:r/>
    </w:p>
    <w:p>
      <w:r/>
      <w:r>
        <w:t>Some argue that sexual orientation is private and that public celebration goes too far. That’s a fair feeling about decorum, but it’s not an argument against rights. You can agree on manners while still accepting that LGBTQ+ people have the same freedoms as anyone else. A useful way to frame it: ask whether the grievance is about expression or equality. If it’s expression, discuss context and timing. If it’s equality, the answer is clear , rights are indivisible and not up for social veto.</w:t>
      </w:r>
      <w:r/>
    </w:p>
    <w:p>
      <w:pPr>
        <w:pStyle w:val="Heading2"/>
      </w:pPr>
      <w:r>
        <w:t>How visibility changes hearts and laws</w:t>
      </w:r>
      <w:r/>
    </w:p>
    <w:p>
      <w:r/>
      <w:r>
        <w:t>History shows that social visibility often precedes legal change. Campaigns, marches and public role models make discrimination easier to spot and harder to justify. Organisations working on LGBTQ+ rights report that where people encounter diverse lives openly, support for protections grows. So visibility doesn’t just satisfy an urge to celebrate; it lays the groundwork for non-discrimination laws, healthcare access and safer communities.</w:t>
      </w:r>
      <w:r/>
    </w:p>
    <w:p>
      <w:pPr>
        <w:pStyle w:val="Heading2"/>
      </w:pPr>
      <w:r>
        <w:t>Practical tips for talking about Pride without escalating</w:t>
      </w:r>
      <w:r/>
    </w:p>
    <w:p>
      <w:r/>
      <w:r>
        <w:t>If you want to keep conversations constructive, start by listening: ask why a march matters to the person you’re speaking with. Avoid framing the issue as permission to perform; instead, speak about safety, dignity and equal treatment. If you’re organising or attending events, consider tone and audience , community-led guidance can help make actions feel both visible and thoughtful. And if you’re a bystander, small acts of support , wearing a discreet symbol, signing a petition, or standing against harassment , make visible solidarity practical.</w:t>
      </w:r>
      <w:r/>
    </w:p>
    <w:p>
      <w:pPr>
        <w:pStyle w:val="Heading2"/>
      </w:pPr>
      <w:r>
        <w:t>What progress looks like next</w:t>
      </w:r>
      <w:r/>
    </w:p>
    <w:p>
      <w:r/>
      <w:r>
        <w:t>Expect a mix of celebration, critique and legal battles for the foreseeable future. Human-rights groups note that progress is uneven across regions, so strategies vary: in some places visibility is bold and necessary, while in others quieter advocacy reduces risk. The important thing to remember is that visibility and debate can coexist. You can criticise a tactic without denying the underlying claim: that all people deserve equal dignity and protection.</w:t>
      </w:r>
      <w:r/>
    </w:p>
    <w:p>
      <w:r/>
      <w:r>
        <w:t>It’s a small shift in thinking , accept the celebration as a claim to rights, and the conversation becomes less about spectacle and more about justice.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13">
        <w:r>
          <w:rPr>
            <w:color w:val="0000EE"/>
            <w:u w:val="single"/>
          </w:rPr>
          <w:t>[6]</w:t>
        </w:r>
      </w:hyperlink>
      <w:r>
        <w:t xml:space="preserve">- Paragraph 3: </w:t>
      </w:r>
      <w:hyperlink r:id="rId14">
        <w:r>
          <w:rPr>
            <w:color w:val="0000EE"/>
            <w:u w:val="single"/>
          </w:rPr>
          <w:t>[3]</w:t>
        </w:r>
      </w:hyperlink>
      <w:r>
        <w:t xml:space="preserve">, </w:t>
      </w:r>
      <w:hyperlink r:id="rId15">
        <w:r>
          <w:rPr>
            <w:color w:val="0000EE"/>
            <w:u w:val="single"/>
          </w:rPr>
          <w:t>[5]</w:t>
        </w:r>
      </w:hyperlink>
      <w:r>
        <w:t xml:space="preserve">- Paragraph 4: </w:t>
      </w:r>
      <w:hyperlink r:id="rId12">
        <w:r>
          <w:rPr>
            <w:color w:val="0000EE"/>
            <w:u w:val="single"/>
          </w:rPr>
          <w:t>[7]</w:t>
        </w:r>
      </w:hyperlink>
      <w:r>
        <w:t xml:space="preserve">, </w:t>
      </w:r>
      <w:hyperlink r:id="rId13">
        <w:r>
          <w:rPr>
            <w:color w:val="0000EE"/>
            <w:u w:val="single"/>
          </w:rPr>
          <w:t>[6]</w:t>
        </w:r>
      </w:hyperlink>
      <w:r>
        <w:t xml:space="preserve">- Paragraph 5: </w:t>
      </w:r>
      <w:hyperlink r:id="rId14">
        <w:r>
          <w:rPr>
            <w:color w:val="0000EE"/>
            <w:u w:val="single"/>
          </w:rPr>
          <w:t>[3]</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https://dennikn.sk/5462934/nech-sa-nepredvadzaju-nech-nepolarizuju/</w:t>
        </w:r>
      </w:hyperlink>
      <w:r>
        <w:t xml:space="preserve"> - Please view link - unable to able to access data</w:t>
      </w:r>
      <w:r/>
    </w:p>
    <w:p>
      <w:pPr>
        <w:pStyle w:val="ListNumber"/>
        <w:spacing w:line="240" w:lineRule="auto"/>
        <w:ind w:left="720"/>
      </w:pPr>
      <w:r/>
      <w:hyperlink r:id="rId10">
        <w:r>
          <w:rPr>
            <w:color w:val="0000EE"/>
            <w:u w:val="single"/>
          </w:rPr>
          <w:t>https://www.hhs.gov/ocr/lgbtqi/index.html</w:t>
        </w:r>
      </w:hyperlink>
      <w:r>
        <w:t xml:space="preserve"> - The U.S. Department of Health and Human Services' Office for Civil Rights (OCR) is dedicated to safeguarding the rights of LGBTQI+ individuals. OCR enforces laws that prohibit discrimination based on sexual orientation and gender identity in health care and human services. The department emphasizes that everyone, including LGBTQI+ people, should have access to health care free from discrimination or interference. This commitment underscores the indivisibility of human rights, as discrimination against one group affects the rights of all individuals.</w:t>
      </w:r>
      <w:r/>
    </w:p>
    <w:p>
      <w:pPr>
        <w:pStyle w:val="ListNumber"/>
        <w:spacing w:line="240" w:lineRule="auto"/>
        <w:ind w:left="720"/>
      </w:pPr>
      <w:r/>
      <w:hyperlink r:id="rId14">
        <w:r>
          <w:rPr>
            <w:color w:val="0000EE"/>
            <w:u w:val="single"/>
          </w:rPr>
          <w:t>https://www.cfr.org/articles/changing-landscape-global-lgbtq-rights</w:t>
        </w:r>
      </w:hyperlink>
      <w:r>
        <w:t xml:space="preserve"> - The Council on Foreign Relations discusses the evolving global landscape of LGBTQ+ rights, highlighting both progress and ongoing challenges. While many countries have advanced in recognizing and protecting LGBTQ+ rights, others continue to criminalize same-sex activities, with some imposing severe penalties. The article underscores the importance of viewing human rights as indivisible, noting that the advancement of LGBTQ+ rights is integral to the broader human rights agenda.</w:t>
      </w:r>
      <w:r/>
    </w:p>
    <w:p>
      <w:pPr>
        <w:pStyle w:val="ListNumber"/>
        <w:spacing w:line="240" w:lineRule="auto"/>
        <w:ind w:left="720"/>
      </w:pPr>
      <w:r/>
      <w:hyperlink r:id="rId11">
        <w:r>
          <w:rPr>
            <w:color w:val="0000EE"/>
            <w:u w:val="single"/>
          </w:rPr>
          <w:t>https://www.amnesty.org/en/what-we-do/discrimination/lgbti-rights/</w:t>
        </w:r>
      </w:hyperlink>
      <w:r>
        <w:t xml:space="preserve"> - Amnesty International addresses the widespread discrimination and violence faced by LGBTI individuals worldwide. The organization campaigns to protect and uphold the rights of LGBTI people, emphasizing that human rights are universal and indivisible. Discrimination based on sexual orientation and gender identity is a violation of fundamental human rights, and Amnesty International works to ensure that these rights are recognized and protected globally.</w:t>
      </w:r>
      <w:r/>
    </w:p>
    <w:p>
      <w:pPr>
        <w:pStyle w:val="ListNumber"/>
        <w:spacing w:line="240" w:lineRule="auto"/>
        <w:ind w:left="720"/>
      </w:pPr>
      <w:r/>
      <w:hyperlink r:id="rId15">
        <w:r>
          <w:rPr>
            <w:color w:val="0000EE"/>
            <w:u w:val="single"/>
          </w:rPr>
          <w:t>https://www.hhri.org/thematic-pages-overview/lgbt-rights/</w:t>
        </w:r>
      </w:hyperlink>
      <w:r>
        <w:t xml:space="preserve"> - The Mental Health and Human Rights Information (MHHRI) platform provides an overview of LGBTIQ+ rights, highlighting the discrimination, harassment, and hostility faced by LGBTIQ+ individuals in many parts of the world. The platform emphasizes that human rights apply equally to everyone, regardless of sexual orientation or gender identity, and underscores the indivisibility of human rights, as violations against one group affect the rights of all individuals.</w:t>
      </w:r>
      <w:r/>
    </w:p>
    <w:p>
      <w:pPr>
        <w:pStyle w:val="ListNumber"/>
        <w:spacing w:line="240" w:lineRule="auto"/>
        <w:ind w:left="720"/>
      </w:pPr>
      <w:r/>
      <w:hyperlink r:id="rId13">
        <w:r>
          <w:rPr>
            <w:color w:val="0000EE"/>
            <w:u w:val="single"/>
          </w:rPr>
          <w:t>https://www.aclu.org/issues/lgbtq-rights</w:t>
        </w:r>
      </w:hyperlink>
      <w:r>
        <w:t xml:space="preserve"> - The American Civil Liberties Union (ACLU) works to ensure that LGBTQ individuals can live openly without discrimination, enjoying equal rights, personal autonomy, and freedom of expression. The ACLU tracks legislative efforts that impact LGBTQ rights, highlighting the importance of viewing human rights as indivisible, as actions against one group can affect the rights of all individuals.</w:t>
      </w:r>
      <w:r/>
    </w:p>
    <w:p>
      <w:pPr>
        <w:pStyle w:val="ListNumber"/>
        <w:spacing w:line="240" w:lineRule="auto"/>
        <w:ind w:left="720"/>
      </w:pPr>
      <w:r/>
      <w:hyperlink r:id="rId12">
        <w:r>
          <w:rPr>
            <w:color w:val="0000EE"/>
            <w:u w:val="single"/>
          </w:rPr>
          <w:t>https://bihr.org.uk/get-informed/where-do-my-rights-apply/lgbtplus-rights</w:t>
        </w:r>
      </w:hyperlink>
      <w:r>
        <w:t xml:space="preserve"> - The British Institute of Human Rights (BIHR) discusses the application of human rights to LGBTI+ individuals, emphasizing that human rights apply equally to everyone, regardless of sexual orientation or gender identity. The BIHR highlights that public bodies have a responsibility to protect, respect, and fulfill these rights, underscoring the indivisibility of human rights, as violations against one group affect the rights of all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ennikn.sk/5462934/nech-sa-nepredvadzaju-nech-nepolarizuju/" TargetMode="External"/><Relationship Id="rId10" Type="http://schemas.openxmlformats.org/officeDocument/2006/relationships/hyperlink" Target="https://www.hhs.gov/ocr/lgbtqi/index.html" TargetMode="External"/><Relationship Id="rId11" Type="http://schemas.openxmlformats.org/officeDocument/2006/relationships/hyperlink" Target="https://www.amnesty.org/en/what-we-do/discrimination/lgbti-rights/" TargetMode="External"/><Relationship Id="rId12" Type="http://schemas.openxmlformats.org/officeDocument/2006/relationships/hyperlink" Target="https://bihr.org.uk/get-informed/where-do-my-rights-apply/lgbtplus-rights" TargetMode="External"/><Relationship Id="rId13" Type="http://schemas.openxmlformats.org/officeDocument/2006/relationships/hyperlink" Target="https://www.aclu.org/issues/lgbtq-rights" TargetMode="External"/><Relationship Id="rId14" Type="http://schemas.openxmlformats.org/officeDocument/2006/relationships/hyperlink" Target="https://www.cfr.org/articles/changing-landscape-global-lgbtq-rights" TargetMode="External"/><Relationship Id="rId15" Type="http://schemas.openxmlformats.org/officeDocument/2006/relationships/hyperlink" Target="https://www.hhri.org/thematic-pages-overview/lgbt-r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