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States for Teen Gender Care? Why Oregon Stands Apart in Diagnoses and Hormone 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data: new analyses show Oregon has become a national outlier for adolescent transgender diagnoses and medical interventions, and that matters because policy, clinics, and insurers together shape who gets care, when, and how quickly. Here’s what the numbers reveal and why parents, clinicians, and policymakers should pay attention.</w:t>
      </w:r>
      <w:r/>
    </w:p>
    <w:p>
      <w:r/>
      <w:r>
        <w:t>Essential Takeaways</w:t>
      </w:r>
      <w:r/>
      <w:r/>
    </w:p>
    <w:p>
      <w:pPr>
        <w:pStyle w:val="ListBullet"/>
        <w:spacing w:line="240" w:lineRule="auto"/>
        <w:ind w:left="720"/>
      </w:pPr>
      <w:r/>
      <w:r>
        <w:rPr>
          <w:b/>
        </w:rPr>
        <w:t>High diagnosis rate:</w:t>
      </w:r>
      <w:r>
        <w:t xml:space="preserve"> About 0.98% of Oregon minors received a transgender-related diagnosis between 2016–2023, with girls diagnosed at higher rates than boys. </w:t>
      </w:r>
      <w:r/>
    </w:p>
    <w:p>
      <w:pPr>
        <w:pStyle w:val="ListBullet"/>
        <w:spacing w:line="240" w:lineRule="auto"/>
        <w:ind w:left="720"/>
      </w:pPr>
      <w:r/>
      <w:r>
        <w:rPr>
          <w:b/>
        </w:rPr>
        <w:t>Hormone uptake above national average:</w:t>
      </w:r>
      <w:r>
        <w:t xml:space="preserve"> By age 17, Oregon teens were prescribed cross-sex hormones at two to three times the national JAMA Pediatrics estimate, and puberty-blocker use spiked earlier. </w:t>
      </w:r>
      <w:r/>
    </w:p>
    <w:p>
      <w:pPr>
        <w:pStyle w:val="ListBullet"/>
        <w:spacing w:line="240" w:lineRule="auto"/>
        <w:ind w:left="720"/>
      </w:pPr>
      <w:r/>
      <w:r>
        <w:rPr>
          <w:b/>
        </w:rPr>
        <w:t>Rapid pathway to treatment:</w:t>
      </w:r>
      <w:r>
        <w:t xml:space="preserve"> Median age at diagnosis was 14 and median time to medical intervention was under ten months, suggesting a fast transition from ID to medical care. </w:t>
      </w:r>
      <w:r/>
    </w:p>
    <w:p>
      <w:pPr>
        <w:pStyle w:val="ListBullet"/>
        <w:spacing w:line="240" w:lineRule="auto"/>
        <w:ind w:left="720"/>
      </w:pPr>
      <w:r/>
      <w:r>
        <w:rPr>
          <w:b/>
        </w:rPr>
        <w:t>State policy matters:</w:t>
      </w:r>
      <w:r>
        <w:t xml:space="preserve"> Oregon’s formal adoption of WPATH guidance for Medicaid and earlier state decisions helped expand coverage and access. </w:t>
      </w:r>
      <w:r/>
    </w:p>
    <w:p>
      <w:pPr>
        <w:pStyle w:val="ListBullet"/>
        <w:spacing w:line="240" w:lineRule="auto"/>
        <w:ind w:left="720"/>
      </w:pPr>
      <w:r/>
      <w:r>
        <w:rPr>
          <w:b/>
        </w:rPr>
        <w:t>Geography and culture correlate:</w:t>
      </w:r>
      <w:r>
        <w:t xml:space="preserve"> Diagnostic prevalence clusters in liberal states such as Vermont and Oregon, pointing to sociocultural as well as clinical drivers.</w:t>
      </w:r>
      <w:r/>
      <w:r/>
    </w:p>
    <w:p>
      <w:pPr>
        <w:pStyle w:val="Heading2"/>
      </w:pPr>
      <w:r>
        <w:t>What the new analyses actually show , and what it feels like on the ground</w:t>
      </w:r>
      <w:r/>
    </w:p>
    <w:p>
      <w:r/>
      <w:r>
        <w:t>The headline finding is simple and a little startling: diagnoses and prescriptions for gender-related care among Oregon adolescents are substantially higher than national averages. The Research Connections study and the Manhattan Institute’s insurance-database review both point to elevated rates, with a tangible sensory detail , clinical appointments and referrals happen quickly, often within months. That pace matters because it changes the lived experience for teens and families, turning a social identity into a clinical pathway in short order.</w:t>
      </w:r>
      <w:r/>
    </w:p>
    <w:p>
      <w:r/>
      <w:r>
        <w:t>Backstory: Oregon’s regulatory choices and expanded coverage created easier access to care. The state’s Medicaid programme and guidance from major hospitals made it straightforward for young people to get diagnostic assessments and, often soon after, medications. For parents this can feel like doors opening fast , sometimes welcome, sometimes worrying.</w:t>
      </w:r>
      <w:r/>
    </w:p>
    <w:p>
      <w:pPr>
        <w:pStyle w:val="Heading2"/>
      </w:pPr>
      <w:r>
        <w:t>How Oregon compares to the rest of the US</w:t>
      </w:r>
      <w:r/>
    </w:p>
    <w:p>
      <w:r/>
      <w:r>
        <w:t>Put bluntly, Oregon is not typical. Nationally, JAMA Pediatrics estimated roughly one in 1,000 teens was prescribed cross-sex hormones by age 17; Oregon’s rate was two to three times that overall, and even higher for specific ages. Charting diagnoses across states shows a clear pattern: liberal-leaning states are clustering at the top. Vermont and Maine join Oregon with much higher prevalences than conservative states such as Mississippi.</w:t>
      </w:r>
      <w:r/>
    </w:p>
    <w:p>
      <w:r/>
      <w:r>
        <w:t>This isn’t just academic. If you live in a state with expanded services and few barriers, your teen is far more likely to be diagnosed and to begin medical treatment. If you live elsewhere, legal restrictions or clinical caution might slow or block that pathway. That geographic split suggests social and policy drivers alongside clinical ones.</w:t>
      </w:r>
      <w:r/>
    </w:p>
    <w:p>
      <w:pPr>
        <w:pStyle w:val="Heading2"/>
      </w:pPr>
      <w:r>
        <w:t>What the data imply about assessment and decision-making</w:t>
      </w:r>
      <w:r/>
    </w:p>
    <w:p>
      <w:r/>
      <w:r>
        <w:t>One striking detail is the short median interval from diagnosis to medical intervention , under ten months , and a median diagnosis age of 14. Those figures raise questions about how “thorough assessment” and multidisciplinary review are being operationalised in practice. Proponents say care follows WPATH standards and is individualised. Critics point to flexible assessment language in those standards and to cases where clinicians prioritise self-identification and autonomy.</w:t>
      </w:r>
      <w:r/>
    </w:p>
    <w:p>
      <w:r/>
      <w:r>
        <w:t>Practical tip: Parents and guardians should ask clinics about their assessment protocols, including how they evaluate co-occurring mental-health issues, how fertility and puberty considerations are explained, and whether second opinions are encouraged.</w:t>
      </w:r>
      <w:r/>
    </w:p>
    <w:p>
      <w:pPr>
        <w:pStyle w:val="Heading2"/>
      </w:pPr>
      <w:r>
        <w:t>Why policy choices matter: Medicaid, HERC and WPATH</w:t>
      </w:r>
      <w:r/>
    </w:p>
    <w:p>
      <w:r/>
      <w:r>
        <w:t>Oregon’s history matters here. The state’s Health Evidence Review Commission flagged limited evidence for paediatric gender interventions but the policy trajectory moved toward coverage anyway. HERC’s earlier concerns did not prevent Medicaid expansion of gender-related services; later legislation and adoption of WPATH recommendations cemented broad coverage. In short, when state policy endorses coverage and major institutions streamline care, utilisation tends to follow.</w:t>
      </w:r>
      <w:r/>
    </w:p>
    <w:p>
      <w:r/>
      <w:r>
        <w:t>Policy consequence: Coverage by Medicaid and a willingness of large providers to perform interventions make a practical difference to access. That’s why federal waivers, state rules, and hospital protocols are key levers in shaping how many adolescents receive diagnoses and treatments.</w:t>
      </w:r>
      <w:r/>
    </w:p>
    <w:p>
      <w:pPr>
        <w:pStyle w:val="Heading2"/>
      </w:pPr>
      <w:r>
        <w:t>What’s still unknown , and what families should ask about</w:t>
      </w:r>
      <w:r/>
    </w:p>
    <w:p>
      <w:r/>
      <w:r>
        <w:t>Important gaps remain. We still don’t know how many diagnosed teens wanted hormones but were denied, how practice varies by clinic, or why privately insured teens show higher diagnosis rates than publicly insured ones. We also lack long-term, high-quality evidence about outcomes across diverse patient groups.</w:t>
      </w:r>
      <w:r/>
    </w:p>
    <w:p>
      <w:r/>
      <w:r>
        <w:t>If you’re navigating this system, ask for clear data from providers: long-term follow-up plans, mental-health supports, fertility counselling, and how reversible options are framed. A pragmatic approach is to treat these choices as part of a broader adolescent-care plan rather than a single, irreversible decision.</w:t>
      </w:r>
      <w:r/>
    </w:p>
    <w:p>
      <w:r/>
      <w:r>
        <w:t>It's a small change that can make every step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0">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9">
        <w:r>
          <w:rPr>
            <w:color w:val="0000EE"/>
            <w:u w:val="single"/>
          </w:rPr>
          <w:t>[1]</w:t>
        </w:r>
      </w:hyperlink>
      <w:r>
        <w:t xml:space="preserve">, </w:t>
      </w:r>
      <w:hyperlink r:id="rId9">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https://www.city-journal.org/article/oregon-transgender-puberty-blocker-hormones</w:t>
        </w:r>
      </w:hyperlink>
      <w:r>
        <w:t xml:space="preserve"> - Please view link - unable to able to access data</w:t>
      </w:r>
      <w:r/>
    </w:p>
    <w:p>
      <w:pPr>
        <w:pStyle w:val="ListNumber"/>
        <w:spacing w:line="240" w:lineRule="auto"/>
        <w:ind w:left="720"/>
      </w:pPr>
      <w:r/>
      <w:hyperlink r:id="rId10">
        <w:r>
          <w:rPr>
            <w:color w:val="0000EE"/>
            <w:u w:val="single"/>
          </w:rPr>
          <w:t>https://academic.oup.com/rescon/article/1/2/vmag049/8657075</w:t>
        </w:r>
      </w:hyperlink>
      <w:r>
        <w:t xml:space="preserve"> - A study published in Research Connections analysed data from 2016 to 2023, revealing that approximately 0.98% of minors in Oregon received a transgender-related diagnosis, with 1.51% of girls and 0.46% of boys affected. The median age at diagnosis was 14 for both genders, and the median time from diagnosis to medical intervention was just under ten months. This suggests a significant increase in gender-related diagnoses among adolescents in Oregon compared to previous years.</w:t>
      </w:r>
      <w:r/>
    </w:p>
    <w:p>
      <w:pPr>
        <w:pStyle w:val="ListNumber"/>
        <w:spacing w:line="240" w:lineRule="auto"/>
        <w:ind w:left="720"/>
      </w:pPr>
      <w:r/>
      <w:hyperlink r:id="rId12">
        <w:r>
          <w:rPr>
            <w:color w:val="0000EE"/>
            <w:u w:val="single"/>
          </w:rPr>
          <w:t>https://jamanetwork.com/journals/jamapediatrics/fullarticle/2800191</w:t>
        </w:r>
      </w:hyperlink>
      <w:r>
        <w:t xml:space="preserve"> - A study published in JAMA Pediatrics examined the use of gender-affirming medications among transgender adolescents in the United States from 2018 to 2022. The findings indicated that the rate of receiving puberty blockers was 20.81 per 100,000 adolescents assigned female at birth and 15.22 per 100,000 assigned male at birth. Hormone therapy rates were 49.9 and 25.34 per 100,000, respectively. Notably, no adolescents younger than 12 years received hormone prescriptions, highlighting the rarity of such treatments among U.S. adolescents.</w:t>
      </w:r>
      <w:r/>
    </w:p>
    <w:p>
      <w:pPr>
        <w:pStyle w:val="ListNumber"/>
        <w:spacing w:line="240" w:lineRule="auto"/>
        <w:ind w:left="720"/>
      </w:pPr>
      <w:r/>
      <w:hyperlink r:id="rId11">
        <w:r>
          <w:rPr>
            <w:color w:val="0000EE"/>
            <w:u w:val="single"/>
          </w:rPr>
          <w:t>https://www.oregon.gov/oha/HSD/OHP/Pages/gender-affirming-care.aspx</w:t>
        </w:r>
      </w:hyperlink>
      <w:r>
        <w:t xml:space="preserve"> - The Oregon Health Authority's website outlines that gender-affirming health care is protected under Oregon law, including the Reproductive Health Equity Act of 2017 and 2023's Oregon House Bill 2002. The Oregon Health Plan (OHP) and many private health insurance plans in Oregon cover medically necessary care that affirms an individual's gender identity according to accepted standards of care, ensuring access to gender-affirming treatments for eligible individuals.</w:t>
      </w:r>
      <w:r/>
    </w:p>
    <w:p>
      <w:pPr>
        <w:pStyle w:val="ListNumber"/>
        <w:spacing w:line="240" w:lineRule="auto"/>
        <w:ind w:left="720"/>
      </w:pPr>
      <w:r/>
      <w:hyperlink r:id="rId14">
        <w:r>
          <w:rPr>
            <w:color w:val="0000EE"/>
            <w:u w:val="single"/>
          </w:rPr>
          <w:t>https://www.law.cornell.edu/regulations/oregon/Or-Admin-Code-SS-836-053-0441</w:t>
        </w:r>
      </w:hyperlink>
      <w:r>
        <w:t xml:space="preserve"> - Oregon Administrative Code § 836-053-0441 mandates that health carriers offering benefit plans cannot deny or limit coverage for gender-affirming treatments deemed medically necessary by healthcare providers. These treatments must be prescribed in accordance with accepted standards of care, which include the World Professional Association for Transgender Health's Standards of Care for the Health of Transgender and Gender Diverse People, Version 8 (WPATH-8). This regulation ensures that gender-affirming care is accessible and covered under health benefit plans in Oregon.</w:t>
      </w:r>
      <w:r/>
    </w:p>
    <w:p>
      <w:pPr>
        <w:pStyle w:val="ListNumber"/>
        <w:spacing w:line="240" w:lineRule="auto"/>
        <w:ind w:left="720"/>
      </w:pPr>
      <w:r/>
      <w:hyperlink r:id="rId13">
        <w:r>
          <w:rPr>
            <w:color w:val="0000EE"/>
            <w:u w:val="single"/>
          </w:rPr>
          <w:t>https://www.oregon.gov/oha/OHP/Providers/Pages/Guidelines.aspx</w:t>
        </w:r>
      </w:hyperlink>
      <w:r>
        <w:t xml:space="preserve"> - The Oregon Health Authority's Provider Guidelines page offers resources and information for healthcare providers regarding coverage, billing, and reimbursement for services under the Oregon Health Plan (OHP). These guidelines assist providers in understanding and implementing policies related to gender-affirming care, ensuring that services are delivered in accordance with state regulations and standards.</w:t>
      </w:r>
      <w:r/>
    </w:p>
    <w:p>
      <w:pPr>
        <w:pStyle w:val="ListNumber"/>
        <w:spacing w:line="240" w:lineRule="auto"/>
        <w:ind w:left="720"/>
      </w:pPr>
      <w:r/>
      <w:hyperlink r:id="rId9">
        <w:r>
          <w:rPr>
            <w:color w:val="0000EE"/>
            <w:u w:val="single"/>
          </w:rPr>
          <w:t>https://www.city-journal.org/article/oregon-transgender-puberty-blocker-hormones</w:t>
        </w:r>
      </w:hyperlink>
      <w:r>
        <w:t xml:space="preserve"> - An article from City Journal discusses a study published in Research Connections that found high rates of puberty-blocker and cross-sex hormone use among adolescents in Oregon. The study revealed that about one in 240 girls and one in 630 boys in Oregon were on hormones by age 17. Additionally, 0.98% of minors received a transgender-related diagnosis during these years, indicating a significant increase in gender-related diagnoses among adolescents in Oregon compared to previous figures.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ity-journal.org/article/oregon-transgender-puberty-blocker-hormones" TargetMode="External"/><Relationship Id="rId10" Type="http://schemas.openxmlformats.org/officeDocument/2006/relationships/hyperlink" Target="https://academic.oup.com/rescon/article/1/2/vmag049/8657075" TargetMode="External"/><Relationship Id="rId11" Type="http://schemas.openxmlformats.org/officeDocument/2006/relationships/hyperlink" Target="https://www.oregon.gov/oha/HSD/OHP/Pages/gender-affirming-care.aspx" TargetMode="External"/><Relationship Id="rId12" Type="http://schemas.openxmlformats.org/officeDocument/2006/relationships/hyperlink" Target="https://jamanetwork.com/journals/jamapediatrics/fullarticle/2800191" TargetMode="External"/><Relationship Id="rId13" Type="http://schemas.openxmlformats.org/officeDocument/2006/relationships/hyperlink" Target="https://www.oregon.gov/oha/OHP/Providers/Pages/Guidelines.aspx" TargetMode="External"/><Relationship Id="rId14" Type="http://schemas.openxmlformats.org/officeDocument/2006/relationships/hyperlink" Target="https://www.law.cornell.edu/regulations/oregon/Or-Admin-Code-SS-836-053-044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