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Renton Resolution: What the New Welcoming City Status Means for Locals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workers and residents in Renton have new clarity: the city council unanimously passed a resolution declaring Renton a welcoming, protective city for LGBTQIA2S+ people, reinforcing state anti‑discrimination and Shield Law protections and promising not to use local resources to target people for gender‑affirming or reproductive care.</w:t>
      </w:r>
      <w:r/>
    </w:p>
    <w:p>
      <w:r/>
      <w:r>
        <w:t>Essential Takeaways</w:t>
      </w:r>
      <w:r/>
      <w:r/>
    </w:p>
    <w:p>
      <w:pPr>
        <w:pStyle w:val="ListBullet"/>
        <w:spacing w:line="240" w:lineRule="auto"/>
        <w:ind w:left="720"/>
      </w:pPr>
      <w:r/>
      <w:r>
        <w:rPr>
          <w:b/>
        </w:rPr>
        <w:t>Unanimous decision:</w:t>
      </w:r>
      <w:r>
        <w:t xml:space="preserve"> Renton City Council voted 7–0 to adopt a resolution affirming the city as welcoming and protective for LGBTQIA2S+ residents, workers and visitors.</w:t>
      </w:r>
      <w:r/>
    </w:p>
    <w:p>
      <w:pPr>
        <w:pStyle w:val="ListBullet"/>
        <w:spacing w:line="240" w:lineRule="auto"/>
        <w:ind w:left="720"/>
      </w:pPr>
      <w:r/>
      <w:r>
        <w:rPr>
          <w:b/>
        </w:rPr>
        <w:t>Legal backbone:</w:t>
      </w:r>
      <w:r>
        <w:t xml:space="preserve"> The resolution reaffirms commitments to Washington’s anti‑discrimination laws and the Shield Law that protects people seeking gender‑affirming care from out‑of‑state legal actions.</w:t>
      </w:r>
      <w:r/>
    </w:p>
    <w:p>
      <w:pPr>
        <w:pStyle w:val="ListBullet"/>
        <w:spacing w:line="240" w:lineRule="auto"/>
        <w:ind w:left="720"/>
      </w:pPr>
      <w:r/>
      <w:r>
        <w:rPr>
          <w:b/>
        </w:rPr>
        <w:t>Local limits on resources:</w:t>
      </w:r>
      <w:r>
        <w:t xml:space="preserve"> City personnel, funds and resources won’t be used to investigate or penalise individuals solely for sexual orientation, gender identity, expression, or lawful gender‑affirming or reproductive health care.</w:t>
      </w:r>
      <w:r/>
    </w:p>
    <w:p>
      <w:pPr>
        <w:pStyle w:val="ListBullet"/>
        <w:spacing w:line="240" w:lineRule="auto"/>
        <w:ind w:left="720"/>
      </w:pPr>
      <w:r/>
      <w:r>
        <w:rPr>
          <w:b/>
        </w:rPr>
        <w:t>Not absolute immunity:</w:t>
      </w:r>
      <w:r>
        <w:t xml:space="preserve"> The policy applies only to discretionary city resources and doesn’t override valid state or federal law, court orders, or grant conditions.</w:t>
      </w:r>
      <w:r/>
    </w:p>
    <w:p>
      <w:pPr>
        <w:pStyle w:val="ListBullet"/>
        <w:spacing w:line="240" w:lineRule="auto"/>
        <w:ind w:left="720"/>
      </w:pPr>
      <w:r/>
      <w:r>
        <w:rPr>
          <w:b/>
        </w:rPr>
        <w:t>Ongoing review:</w:t>
      </w:r>
      <w:r>
        <w:t xml:space="preserve"> The administration will monitor state and federal developments and report if following the resolution risks federal funding.</w:t>
      </w:r>
      <w:r/>
      <w:r/>
    </w:p>
    <w:p>
      <w:r/>
      <w:r>
        <w:t>Opening hook: what was decided, and why it matters Renton’s council made a deliberate move to put policy behind its values, not just a ceremonial proclamation. The room was unanimous, and the wording is specific: this isn’t just goodwill , it’s a directive about how city resources should, and shouldn’t, be used when it comes to LGBTQIA2S+ rights and care. For anyone who wants a visible, civic commitment that feels protective rather than symbolic, this settles a lot.</w:t>
      </w:r>
      <w:r/>
    </w:p>
    <w:p>
      <w:r/>
      <w:r>
        <w:t>Backstory: why a new resolution instead of a proclamation? The debate began in April 2025 when councillors asked whether a 2017 proclamation was enough, or if a stronger legal instrument was required. The new resolution changes city code language and creates an explicit local policy, rather than mere government speech. Councilmember Carmen Rivera noted the national climate and framed the action as a public‑health and safety policy for a growing community , a practical observation that swayed colleagues.</w:t>
      </w:r>
      <w:r/>
    </w:p>
    <w:p>
      <w:r/>
      <w:r>
        <w:t>What exactly the city will and won’t do Renton declares it will not use city staff, money or tools to investigate, detain, surveil or penalise people because of their sexual orientation, gender identity or for seeking or providing lawful gender‑affirming or reproductive care. That’s a clear reassurance for people living and working in the city, and for providers. But it’s also narrowly drawn: the city won’t disobey state or federal law, can’t ignore court orders, and must comply with conditions on federal grants.</w:t>
      </w:r>
      <w:r/>
    </w:p>
    <w:p>
      <w:r/>
      <w:r>
        <w:t>How this connects to Washington state protections The resolution explicitly ties local policy to state law. It reaffirms the Washington Law Against Discrimination and the Shield Law protections that have been discussed nationally since Washington passed shielding measures to protect people seeking gender‑affirming care. That alignment matters because it helps ensure local practice tracks state legal standards, while signalling to residents that the city supports those statutory protections.</w:t>
      </w:r>
      <w:r/>
    </w:p>
    <w:p>
      <w:r/>
      <w:r>
        <w:t>Practical implications for residents and city staff For residents, the resolution offers everyday reassurance , a complaint or concern about discrimination now has a clearer path in city policy. For city employees and administrators, the text demands vigilance: the administration must monitor changes at state and federal level, track grant conditions, and report if following the resolution could jeopardise federal funding. That balance aims to protect people while keeping the city legally compliant.</w:t>
      </w:r>
      <w:r/>
    </w:p>
    <w:p>
      <w:r/>
      <w:r>
        <w:t>Reaction and outlook: what leaders and locals are saying Councilmember Ed Prince flagged a simple civic truth: not everyone knows past proclamations existed, and demographics shift. The resolution is a way to make intentions public and current. Looking ahead, Renton will likely keep an eye on legal developments and recalibrate if court decisions or state law change the landscape.</w:t>
      </w:r>
      <w:r/>
    </w:p>
    <w:p>
      <w:r/>
      <w:r>
        <w:t>How to read this if you live or work in Renton If you identify as LGBTQIA2S+ or provide care, this resolution is a meaningful local statement that the city intends not to be an active participant in out‑of‑state legal targeting. If you’re a public servant, treat it as guidance and keep an eye on compliance checks tied to grants or higher‑court rulings. And if you’re curious, the city will report to council when conflicts or risks appear.</w:t>
      </w:r>
      <w:r/>
    </w:p>
    <w:p>
      <w:r/>
      <w:r>
        <w:t>It's a small but practical step that makes the city’s stance clear and gives people a better sense of safety in everyday life.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[7]</w:t>
        </w:r>
      </w:hyperlink>
      <w:r>
        <w:t xml:space="preserve">- Paragraph 2: </w:t>
      </w:r>
      <w:hyperlink r:id="rId12">
        <w:r>
          <w:rPr>
            <w:color w:val="0000EE"/>
            <w:u w:val="single"/>
          </w:rPr>
          <w:t>[3]</w:t>
        </w:r>
      </w:hyperlink>
      <w:r>
        <w:t xml:space="preserve">, </w:t>
      </w:r>
      <w:hyperlink r:id="rId13">
        <w:r>
          <w:rPr>
            <w:color w:val="0000EE"/>
            <w:u w:val="single"/>
          </w:rPr>
          <w:t>[5]</w:t>
        </w:r>
      </w:hyperlink>
      <w:r>
        <w:t xml:space="preserve">- Paragraph 3: </w:t>
      </w:r>
      <w:hyperlink r:id="rId10">
        <w:r>
          <w:rPr>
            <w:color w:val="0000EE"/>
            <w:u w:val="single"/>
          </w:rPr>
          <w:t>[2]</w:t>
        </w:r>
      </w:hyperlink>
      <w:r>
        <w:t xml:space="preserve">, </w:t>
      </w:r>
      <w:hyperlink r:id="rId11">
        <w:r>
          <w:rPr>
            <w:color w:val="0000EE"/>
            <w:u w:val="single"/>
          </w:rPr>
          <w:t>[7]</w:t>
        </w:r>
      </w:hyperlink>
      <w:r>
        <w:t xml:space="preserve">- Paragraph 4: </w:t>
      </w:r>
      <w:hyperlink r:id="rId13">
        <w:r>
          <w:rPr>
            <w:color w:val="0000EE"/>
            <w:u w:val="single"/>
          </w:rPr>
          <w:t>[5]</w:t>
        </w:r>
      </w:hyperlink>
      <w:r>
        <w:t xml:space="preserve">, </w:t>
      </w:r>
      <w:hyperlink r:id="rId14">
        <w:r>
          <w:rPr>
            <w:color w:val="0000EE"/>
            <w:u w:val="single"/>
          </w:rPr>
          <w:t>[4]</w:t>
        </w:r>
      </w:hyperlink>
      <w:r>
        <w:t xml:space="preserve">- Paragraph 5: </w:t>
      </w:r>
      <w:hyperlink r:id="rId15">
        <w:r>
          <w:rPr>
            <w:color w:val="0000EE"/>
            <w:u w:val="single"/>
          </w:rPr>
          <w:t>[6]</w:t>
        </w:r>
      </w:hyperlink>
      <w:r>
        <w:t xml:space="preserve">, </w:t>
      </w:r>
      <w:hyperlink r:id="rId12">
        <w:r>
          <w:rPr>
            <w:color w:val="0000EE"/>
            <w:u w:val="single"/>
          </w:rPr>
          <w:t>[3]</w:t>
        </w:r>
      </w:hyperlink>
      <w:r>
        <w:t xml:space="preserve">- Paragraph 6: </w:t>
      </w:r>
      <w:hyperlink r:id="rId10">
        <w:r>
          <w:rPr>
            <w:color w:val="0000EE"/>
            <w:u w:val="single"/>
          </w:rPr>
          <w:t>[2]</w:t>
        </w:r>
      </w:hyperlink>
      <w:r>
        <w:t xml:space="preserve">, </w:t>
      </w:r>
      <w:hyperlink r:id="rId11">
        <w:r>
          <w:rPr>
            <w:color w:val="0000EE"/>
            <w:u w:val="single"/>
          </w:rPr>
          <w:t>[7]</w:t>
        </w:r>
      </w:hyperlink>
      <w:r>
        <w:t xml:space="preserve">- Paragraph 7: </w:t>
      </w:r>
      <w:hyperlink r:id="rId10">
        <w:r>
          <w:rPr>
            <w:color w:val="0000EE"/>
            <w:u w:val="single"/>
          </w:rPr>
          <w:t>[2]</w:t>
        </w:r>
      </w:hyperlink>
      <w:r>
        <w:t xml:space="preserve">, </w:t>
      </w:r>
      <w:hyperlink r:id="rId14">
        <w:r>
          <w:rPr>
            <w:color w:val="0000EE"/>
            <w:u w:val="single"/>
          </w:rPr>
          <w:t>[4]</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https://www.rentonreporter.com/2026/07/19/council-affirms-renton-protective-city-for-lgbtqia2s/</w:t>
        </w:r>
      </w:hyperlink>
      <w:r>
        <w:t xml:space="preserve"> - Please view link - unable to able to access data</w:t>
      </w:r>
      <w:r/>
    </w:p>
    <w:p>
      <w:pPr>
        <w:pStyle w:val="ListNumber"/>
        <w:spacing w:line="240" w:lineRule="auto"/>
        <w:ind w:left="720"/>
      </w:pPr>
      <w:r/>
      <w:hyperlink r:id="rId10">
        <w:r>
          <w:rPr>
            <w:color w:val="0000EE"/>
            <w:u w:val="single"/>
          </w:rPr>
          <w:t>https://www.rentonwa.gov/Government/City-Council/City-Council-Calendar/weeklyagendas</w:t>
        </w:r>
      </w:hyperlink>
      <w:r>
        <w:t xml:space="preserve"> - The City of Renton's official website provides access to the City Council's weekly agendas, including Resolution No. 4549, which affirms Renton as a 'welcoming and protective city' for LGBTQIA2S+ individuals and reaffirms the city's commitment to the Washington Law Against Discrimination and Washington's Shield Law. This resolution directs lawful actions to protect the civil rights, safety, and well-being of all residents, workers, and visitors. The agenda details the council's unanimous passage of this resolution on July 13, 2026.</w:t>
      </w:r>
      <w:r/>
    </w:p>
    <w:p>
      <w:pPr>
        <w:pStyle w:val="ListNumber"/>
        <w:spacing w:line="240" w:lineRule="auto"/>
        <w:ind w:left="720"/>
      </w:pPr>
      <w:r/>
      <w:hyperlink r:id="rId12">
        <w:r>
          <w:rPr>
            <w:color w:val="0000EE"/>
            <w:u w:val="single"/>
          </w:rPr>
          <w:t>https://www.atg.wa.gov/reproductive-and-gender-affirming-care-shielding-providers-seekers-and-helpers-out-state-legal</w:t>
        </w:r>
      </w:hyperlink>
      <w:r>
        <w:t xml:space="preserve"> - The Washington State Attorney General's Office outlines the state's Shield Law, enacted in 2023, which protects individuals in Washington from civil and criminal actions in other states that restrict or criminalize reproductive and gender-affirming care. The law ensures that those seeking or providing such care in Washington are shielded from liability, reinforcing the state's commitment to safeguarding the rights of LGBTQIA2S+ individuals.</w:t>
      </w:r>
      <w:r/>
    </w:p>
    <w:p>
      <w:pPr>
        <w:pStyle w:val="ListNumber"/>
        <w:spacing w:line="240" w:lineRule="auto"/>
        <w:ind w:left="720"/>
      </w:pPr>
      <w:r/>
      <w:hyperlink r:id="rId14">
        <w:r>
          <w:rPr>
            <w:color w:val="0000EE"/>
            <w:u w:val="single"/>
          </w:rPr>
          <w:t>https://www.atg.wa.gov/know-your-rights-gender-affirming-care</w:t>
        </w:r>
      </w:hyperlink>
      <w:r>
        <w:t xml:space="preserve"> - This resource from the Washington State Attorney General's Office provides guidance on the rights of individuals seeking gender-affirming care in Washington. It details the protections offered by the Shield Law, including the prohibition of Washington courts, state and local agencies, and law enforcement from cooperating with out-of-state legal processes related to lawful gender-affirming care provided in Washington. The law also protects healthcare providers from threats and harassment, allowing them and their families to participate in the state's Address Confidentiality Program.</w:t>
      </w:r>
      <w:r/>
    </w:p>
    <w:p>
      <w:pPr>
        <w:pStyle w:val="ListNumber"/>
        <w:spacing w:line="240" w:lineRule="auto"/>
        <w:ind w:left="720"/>
      </w:pPr>
      <w:r/>
      <w:hyperlink r:id="rId13">
        <w:r>
          <w:rPr>
            <w:color w:val="0000EE"/>
            <w:u w:val="single"/>
          </w:rPr>
          <w:t>https://www.lgbtqnation.com/2023/04/washington-passes-shield-law-to-protect-people-from-out-of-state-seeking-gender-affirming-care/</w:t>
        </w:r>
      </w:hyperlink>
      <w:r>
        <w:t xml:space="preserve"> - LGBTQ Nation reports on Washington's passage of a 'shield law' in April 2023, designed to protect individuals seeking gender-affirming care and abortions from out-of-state legal actions. The law prohibits Washington legal authorities from cooperating with out-of-state subpoenas, court orders, warrants, and extradition requests regarding gender and reproductive health care, ensuring that both state residents and those from other states who come to Washington for such care are protected.</w:t>
      </w:r>
      <w:r/>
    </w:p>
    <w:p>
      <w:pPr>
        <w:pStyle w:val="ListNumber"/>
        <w:spacing w:line="240" w:lineRule="auto"/>
        <w:ind w:left="720"/>
      </w:pPr>
      <w:r/>
      <w:hyperlink r:id="rId15">
        <w:r>
          <w:rPr>
            <w:color w:val="0000EE"/>
            <w:u w:val="single"/>
          </w:rPr>
          <w:t>https://legalclarity.org/rcw-49-60-040-definitions-and-protected-characteristics/</w:t>
        </w:r>
      </w:hyperlink>
      <w:r>
        <w:t xml:space="preserve"> - LegalClarity provides an analysis of RCW 49.60.040, which defines protected characteristics under Washington's anti-discrimination law. The law prohibits discrimination based on race, creed, colour, national origin, sex, sexual orientation, marital status, honourably discharged veteran or military status, and the presence of a disability. This statute is integral to the Washington Law Against Discrimination, ensuring that individuals, including those in the LGBTQIA2S+ community, are protected from discrimination in various aspects of life.</w:t>
      </w:r>
      <w:r/>
    </w:p>
    <w:p>
      <w:pPr>
        <w:pStyle w:val="ListNumber"/>
        <w:spacing w:line="240" w:lineRule="auto"/>
        <w:ind w:left="720"/>
      </w:pPr>
      <w:r/>
      <w:hyperlink r:id="rId11">
        <w:r>
          <w:rPr>
            <w:color w:val="0000EE"/>
            <w:u w:val="single"/>
          </w:rPr>
          <w:t>https://lgbtq.wa.gov/lawsandpolicies</w:t>
        </w:r>
      </w:hyperlink>
      <w:r>
        <w:t xml:space="preserve"> - The Washington State LGBTQ Commission's website offers resources on inclusive laws and policies in Washington. It highlights the state's commitment to protecting and advocating for 2SLGBTQIA+ communities, detailing relevant RCW chapters such as RCW 49.60, which establishes the Washington Law Against Discrimination and the Washington State Human Rights Commission. The site also provides information on other laws related to marriage, domestic partnerships, and protected health care services, underscoring Washington's dedication to safeguarding the rights of LGBTQIA2S+ individuals.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rentonreporter.com/2026/07/19/council-affirms-renton-protective-city-for-lgbtqia2s/" TargetMode="External"/><Relationship Id="rId10" Type="http://schemas.openxmlformats.org/officeDocument/2006/relationships/hyperlink" Target="https://www.rentonwa.gov/Government/City-Council/City-Council-Calendar/weeklyagendas" TargetMode="External"/><Relationship Id="rId11" Type="http://schemas.openxmlformats.org/officeDocument/2006/relationships/hyperlink" Target="https://lgbtq.wa.gov/lawsandpolicies" TargetMode="External"/><Relationship Id="rId12" Type="http://schemas.openxmlformats.org/officeDocument/2006/relationships/hyperlink" Target="https://www.atg.wa.gov/reproductive-and-gender-affirming-care-shielding-providers-seekers-and-helpers-out-state-legal" TargetMode="External"/><Relationship Id="rId13" Type="http://schemas.openxmlformats.org/officeDocument/2006/relationships/hyperlink" Target="https://www.lgbtqnation.com/2023/04/washington-passes-shield-law-to-protect-people-from-out-of-state-seeking-gender-affirming-care/" TargetMode="External"/><Relationship Id="rId14" Type="http://schemas.openxmlformats.org/officeDocument/2006/relationships/hyperlink" Target="https://www.atg.wa.gov/know-your-rights-gender-affirming-care" TargetMode="External"/><Relationship Id="rId15" Type="http://schemas.openxmlformats.org/officeDocument/2006/relationships/hyperlink" Target="https://legalclarity.org/rcw-49-60-040-definitions-and-protected-characteristic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