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Findings on Intimate Partner Violence and HIV Risk Among Transgender Women</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Notice how conversations about abuse and health are changing: researchers, activists and service providers in the US and beyond are exploring how intimate partner violence affects transgender women’s HIV risk, why it’s often hidden, and what practical steps can help protect health and safety. This matters for care, policy and everyday support.</w:t>
      </w:r>
      <w:r/>
    </w:p>
    <w:p>
      <w:r/>
      <w:r>
        <w:t>Essential Takeaways</w:t>
      </w:r>
      <w:r/>
      <w:r/>
    </w:p>
    <w:p>
      <w:pPr>
        <w:pStyle w:val="ListBullet"/>
        <w:spacing w:line="240" w:lineRule="auto"/>
        <w:ind w:left="720"/>
      </w:pPr>
      <w:r/>
      <w:r>
        <w:rPr>
          <w:b/>
        </w:rPr>
        <w:t>Hidden harm:</w:t>
      </w:r>
      <w:r>
        <w:t xml:space="preserve"> Many transgender women describe abuse that’s hard to label, leaving them unsure if what’s happening counts as intimate partner violence.</w:t>
      </w:r>
      <w:r/>
    </w:p>
    <w:p>
      <w:pPr>
        <w:pStyle w:val="ListBullet"/>
        <w:spacing w:line="240" w:lineRule="auto"/>
        <w:ind w:left="720"/>
      </w:pPr>
      <w:r/>
      <w:r>
        <w:rPr>
          <w:b/>
        </w:rPr>
        <w:t>Direct HIV links:</w:t>
      </w:r>
      <w:r>
        <w:t xml:space="preserve"> Coercion and reproductive or sexual control can raise the risk of HIV exposure through forced sex, condom sabotage, or reduced negotiating power.</w:t>
      </w:r>
      <w:r/>
    </w:p>
    <w:p>
      <w:pPr>
        <w:pStyle w:val="ListBullet"/>
        <w:spacing w:line="240" w:lineRule="auto"/>
        <w:ind w:left="720"/>
      </w:pPr>
      <w:r/>
      <w:r>
        <w:rPr>
          <w:b/>
        </w:rPr>
        <w:t>Barriers to help:</w:t>
      </w:r>
      <w:r>
        <w:t xml:space="preserve"> Stigma, transphobia and mistrust of services mean survivors often don’t report violence or access sexual health care.</w:t>
      </w:r>
      <w:r/>
    </w:p>
    <w:p>
      <w:pPr>
        <w:pStyle w:val="ListBullet"/>
        <w:spacing w:line="240" w:lineRule="auto"/>
        <w:ind w:left="720"/>
      </w:pPr>
      <w:r/>
      <w:r>
        <w:rPr>
          <w:b/>
        </w:rPr>
        <w:t>Tailored responses work best:</w:t>
      </w:r>
      <w:r>
        <w:t xml:space="preserve"> Interventions adapted for trans communities , trauma-informed, culturally competent and integrated with HIV prevention , show the most promise.</w:t>
      </w:r>
      <w:r/>
    </w:p>
    <w:p>
      <w:pPr>
        <w:pStyle w:val="ListBullet"/>
        <w:spacing w:line="240" w:lineRule="auto"/>
        <w:ind w:left="720"/>
      </w:pPr>
      <w:r/>
      <w:r>
        <w:rPr>
          <w:b/>
        </w:rPr>
        <w:t>Practical actions:</w:t>
      </w:r>
      <w:r>
        <w:t xml:space="preserve"> Safer sex planning, trusted clinic lists, and peer-led support are immediate, usable steps for people and allies.</w:t>
      </w:r>
      <w:r/>
      <w:r/>
    </w:p>
    <w:p>
      <w:pPr>
        <w:pStyle w:val="Heading2"/>
      </w:pPr>
      <w:r>
        <w:t>Why this study matters now: voices finally centre lived experience</w:t>
      </w:r>
      <w:r/>
    </w:p>
    <w:p>
      <w:r/>
      <w:r>
        <w:t>The latest research brings transgender women’s own accounts to the foreground, and that shift is telling. Many participants describe a quiet, unsettling uncertainty , they’ll recount controlling behaviour or pressured sex but still say, “I don’t know if that’s abuse.” That fuzzy boundary matters because it delays help and can increase HIV exposure. According to advocacy coverage, researchers and service providers are responding by listening first, which feels overdue and necessary.</w:t>
      </w:r>
      <w:r/>
    </w:p>
    <w:p>
      <w:r/>
      <w:r>
        <w:t>Context matters: historically, studies of intimate partner violence (IPV) focused on cisgender women or framed abuse through narrow legal definitions. Newer work recognises gender diversity and shows why policies and services designed for other populations simply don’t fit transgender lives. If you’re a practitioner, that’s a cue to check whether your intake forms, risk assessments and referral lists actually reflect trans realities.</w:t>
      </w:r>
      <w:r/>
    </w:p>
    <w:p>
      <w:pPr>
        <w:pStyle w:val="Heading2"/>
      </w:pPr>
      <w:r>
        <w:t>How abusive tactics can translate into HIV risk</w:t>
      </w:r>
      <w:r/>
    </w:p>
    <w:p>
      <w:r/>
      <w:r>
        <w:t>Abuse isn’t only physical. The research highlights tactics such as forced sex, contraceptive or condom interference, and emotional coercion that make safer-sex negotiation almost impossible. These are tangible HIV risk pathways , not abstract or secondary issues. Public-health responses that ignore these mechanisms are missing half the problem.</w:t>
      </w:r>
      <w:r/>
    </w:p>
    <w:p>
      <w:r/>
      <w:r>
        <w:t>For people worried about exposure, practical moves include documenting incidents (securely), seeking rapid HIV testing after assault, and asking about post-exposure prophylaxis at a clinic that understands trans health. Services that bundle violence support with sexual-health care are more likely to close dangerous gaps.</w:t>
      </w:r>
      <w:r/>
    </w:p>
    <w:p>
      <w:pPr>
        <w:pStyle w:val="Heading2"/>
      </w:pPr>
      <w:r>
        <w:t>Why survivors stay silent , and what removes barriers</w:t>
      </w:r>
      <w:r/>
    </w:p>
    <w:p>
      <w:r/>
      <w:r>
        <w:t>Stigma, shame and fear of being disbelieved are recurring themes. Survivors recount experiences of being misgendered, blamed, or told their relationships “don’t count” for legal protection. That combination pushes many to manage danger alone. Outreach and trust-building are essential: clinics and shelters that train staff in gender-affirming practice, use correct names and pronouns, and publicise confidentiality can lower thresholds for seeking help.</w:t>
      </w:r>
      <w:r/>
    </w:p>
    <w:p>
      <w:r/>
      <w:r>
        <w:t>Community-led options work especially well. Peer navigators or trans-specific support groups can be safer first points of contact than mainstream services. If you support an organisation, consider simple changes: trans-inclusive intake forms, visible trans-competency statements and partnerships with local LGBT+ groups.</w:t>
      </w:r>
      <w:r/>
    </w:p>
    <w:p>
      <w:pPr>
        <w:pStyle w:val="Heading2"/>
      </w:pPr>
      <w:r>
        <w:t>What interventions are showing promise</w:t>
      </w:r>
      <w:r/>
    </w:p>
    <w:p>
      <w:r/>
      <w:r>
        <w:t>Adaptations of evidence-based HIV-prevention and violence-support programmes , redesigned with input from trans women , are a practical way forward. Programs that combine trauma-informed counselling, legal advocacy and sexual-health planning help survivors manage both immediate safety and longer-term prevention. Integrating PrEP education and access into domestic violence services, for instance, reduces missed opportunities.</w:t>
      </w:r>
      <w:r/>
    </w:p>
    <w:p>
      <w:r/>
      <w:r>
        <w:t>Funders and policymakers should note that one-size-fits-all responses fail; tailored approaches cost more upfront but reach people conventional programmes miss. Expect better outcomes when services are co-designed with the communities they serve.</w:t>
      </w:r>
      <w:r/>
    </w:p>
    <w:p>
      <w:pPr>
        <w:pStyle w:val="Heading2"/>
      </w:pPr>
      <w:r>
        <w:t>Looking ahead: research, policy and everyday support</w:t>
      </w:r>
      <w:r/>
    </w:p>
    <w:p>
      <w:r/>
      <w:r>
        <w:t>There’s momentum toward recognising coercive control and identity-based abuse as central to risk assessments and prevention planning. Future research will need to track outcomes of integrated programmes and explore variations by race, class and geographic location. Practitioners should keep pushing for data collection that allows intersectional analysis so services don’t reproduce the very exclusions they aim to fix.</w:t>
      </w:r>
      <w:r/>
    </w:p>
    <w:p>
      <w:r/>
      <w:r>
        <w:t>If you’re supporting someone now, trust them, help them find a trans-competent clinician, and consider safety planning that includes sexual-health options. Small, informed gestures can make a big difference.</w:t>
      </w:r>
      <w:r/>
    </w:p>
    <w:p>
      <w:r/>
      <w:r>
        <w:t>It's a small change that can make every conversation about safety and sexual health more useful and humane.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[5]</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[7]</w:t>
        </w:r>
      </w:hyperlink>
      <w:r>
        <w:t xml:space="preserve">- Paragraph 3: </w:t>
      </w:r>
      <w:hyperlink r:id="rId10">
        <w:r>
          <w:rPr>
            <w:color w:val="0000EE"/>
            <w:u w:val="single"/>
          </w:rPr>
          <w:t>[5]</w:t>
        </w:r>
      </w:hyperlink>
      <w:r>
        <w:t xml:space="preserve">, </w:t>
      </w:r>
      <w:hyperlink r:id="rId11">
        <w:r>
          <w:rPr>
            <w:color w:val="0000EE"/>
            <w:u w:val="single"/>
          </w:rPr>
          <w:t>[4]</w:t>
        </w:r>
      </w:hyperlink>
      <w:r>
        <w:t xml:space="preserve">- Paragraph 4: </w:t>
      </w:r>
      <w:hyperlink r:id="rId14">
        <w:r>
          <w:rPr>
            <w:color w:val="0000EE"/>
            <w:u w:val="single"/>
          </w:rPr>
          <w:t>[6]</w:t>
        </w:r>
      </w:hyperlink>
      <w:r>
        <w:t xml:space="preserve">, </w:t>
      </w:r>
      <w:hyperlink r:id="rId10">
        <w:r>
          <w:rPr>
            <w:color w:val="0000EE"/>
            <w:u w:val="single"/>
          </w:rPr>
          <w:t>[5]</w:t>
        </w:r>
      </w:hyperlink>
      <w:r>
        <w:t xml:space="preserve">- Paragraph 5: </w:t>
      </w:r>
      <w:hyperlink r:id="rId9">
        <w:r>
          <w:rPr>
            <w:color w:val="0000EE"/>
            <w:u w:val="single"/>
          </w:rPr>
          <w:t>[2]</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https://compass.onlinelibrary.wiley.com/doi/10.1111/soc4.70229?af=R</w:t>
        </w:r>
      </w:hyperlink>
      <w:r>
        <w:t xml:space="preserve"> - Please view link - unable to able to access data</w:t>
      </w:r>
      <w:r/>
    </w:p>
    <w:p>
      <w:pPr>
        <w:pStyle w:val="ListNumber"/>
        <w:spacing w:line="240" w:lineRule="auto"/>
        <w:ind w:left="720"/>
      </w:pPr>
      <w:r/>
      <w:hyperlink r:id="rId9">
        <w:r>
          <w:rPr>
            <w:color w:val="0000EE"/>
            <w:u w:val="single"/>
          </w:rPr>
          <w:t>https://compass.onlinelibrary.wiley.com/doi/10.1111/soc4.70229?af=R</w:t>
        </w:r>
      </w:hyperlink>
      <w:r>
        <w:t xml:space="preserve"> - This article examines the construction of gender within men's accounts of domestic violence. Analyses of in-depth interviews conducted with 33 domestically violent heterosexual men indicate that these batterers used diverse strategies to present themselves as nonviolent, capable, and rational men. Respondents performed gender by contrasting effectual male violence with ineffectual female violence, by claiming that female partners were responsible for the violence in their relationships and by constructing men as victims of a biased criminal justice system. This study suggests that violence against female partners is a means by which batterers reproduce a binary framework of gender.</w:t>
      </w:r>
      <w:r/>
    </w:p>
    <w:p>
      <w:pPr>
        <w:pStyle w:val="ListNumber"/>
        <w:spacing w:line="240" w:lineRule="auto"/>
        <w:ind w:left="720"/>
      </w:pPr>
      <w:r/>
      <w:hyperlink r:id="rId12">
        <w:r>
          <w:rPr>
            <w:color w:val="0000EE"/>
            <w:u w:val="single"/>
          </w:rPr>
          <w:t>https://www.ojp.gov/ncjrs/virtual-library/abstracts/gendering-violence-masculinity-and-power-mens-accounts-domestic</w:t>
        </w:r>
      </w:hyperlink>
      <w:r>
        <w:t xml:space="preserve"> - This study examines the construction of gender within men's accounts of domestic violence. Analyses of in-depth interviews conducted with 33 domestically violent heterosexual men indicate that these batterers used diverse strategies to present themselves as nonviolent, capable, and rational men. Respondents performed gender by contrasting effectual male violence with ineffectual female violence, by claiming that female partners were responsible for the violence in their relationships and by constructing men as victims of a biased criminal justice system. This study suggests that violence against female partners is a means by which batterers reproduce a binary framework of gender.</w:t>
      </w:r>
      <w:r/>
    </w:p>
    <w:p>
      <w:pPr>
        <w:pStyle w:val="ListNumber"/>
        <w:spacing w:line="240" w:lineRule="auto"/>
        <w:ind w:left="720"/>
      </w:pPr>
      <w:r/>
      <w:hyperlink r:id="rId11">
        <w:r>
          <w:rPr>
            <w:color w:val="0000EE"/>
            <w:u w:val="single"/>
          </w:rPr>
          <w:t>https://www.tandfonline.com/doi/abs/10.1080/13691058.2022.2134929</w:t>
        </w:r>
      </w:hyperlink>
      <w:r>
        <w:t xml:space="preserve"> - This article explores transgender women's lived experiences of intimate partner violence (IPV) and the relationship between IPV and HIV risk. Using qualitative methods, the study identifies four key concepts that warrant inclusion in the development of models for IPV and HIV interventions: (1) considering the boundaries of IPV; (2) normalising expectations of chronic violence; (3) relationship safety; (4) calls for trans-affirming and empowering services.</w:t>
      </w:r>
      <w:r/>
    </w:p>
    <w:p>
      <w:pPr>
        <w:pStyle w:val="ListNumber"/>
        <w:spacing w:line="240" w:lineRule="auto"/>
        <w:ind w:left="720"/>
      </w:pPr>
      <w:r/>
      <w:hyperlink r:id="rId10">
        <w:r>
          <w:rPr>
            <w:color w:val="0000EE"/>
            <w:u w:val="single"/>
          </w:rPr>
          <w:t>https://www.aidsmap.com/news/dec-2022/links-between-intimate-partner-violence-and-hiv-risk-among-transgender-women-require</w:t>
        </w:r>
      </w:hyperlink>
      <w:r>
        <w:t xml:space="preserve"> - This article discusses the links between intimate partner violence (IPV) and HIV risk among transgender women. It highlights that transgender women are more than 32 times more likely than cisgender adults to be living with HIV and twice as likely to experience physical and sexual violence from their intimate partners. The article also discusses factors contributing to these disparities, including historical exposure to abuse and emotional and financial dependence on intimate partners.</w:t>
      </w:r>
      <w:r/>
    </w:p>
    <w:p>
      <w:pPr>
        <w:pStyle w:val="ListNumber"/>
        <w:spacing w:line="240" w:lineRule="auto"/>
        <w:ind w:left="720"/>
      </w:pPr>
      <w:r/>
      <w:hyperlink r:id="rId14">
        <w:r>
          <w:rPr>
            <w:color w:val="0000EE"/>
            <w:u w:val="single"/>
          </w:rPr>
          <w:t>https://www.ncjrs.gov/pdffiles1/nij/grants/188761.pdf</w:t>
        </w:r>
      </w:hyperlink>
      <w:r>
        <w:t xml:space="preserve"> - This study examines the construction of gender within men's accounts of domestic violence. Analyses of in-depth interviews conducted with 33 domestically violent heterosexual men indicate that these batterers used diverse strategies to present themselves as nonviolent, capable, and rational men. Respondents performed gender by contrasting effectual male violence with ineffectual female violence, by claiming that female partners were responsible for the violence in their relationships and by constructing men as victims of a biased criminal justice system. This study suggests that violence against female partners is a means by which batterers reproduce a binary framework of gender.</w:t>
      </w:r>
      <w:r/>
    </w:p>
    <w:p>
      <w:pPr>
        <w:pStyle w:val="ListNumber"/>
        <w:spacing w:line="240" w:lineRule="auto"/>
        <w:ind w:left="720"/>
      </w:pPr>
      <w:r/>
      <w:hyperlink r:id="rId13">
        <w:r>
          <w:rPr>
            <w:color w:val="0000EE"/>
            <w:u w:val="single"/>
          </w:rPr>
          <w:t>https://www.researchgate.net/publication/249667896_Gendering_violence_Masculinity_and_power_in_men's_accounts_of_domestic_violence</w:t>
        </w:r>
      </w:hyperlink>
      <w:r>
        <w:t xml:space="preserve"> - This article examines the construction of gender within men's accounts of domestic violence. Analyses of in-depth interviews conducted with 33 domestically violent heterosexual men indicate that these batterers used diverse strategies to present themselves as nonviolent, capable, and rational men. Respondents performed gender by contrasting effectual male violence with ineffectual female violence, by claiming that female partners were responsible for the violence in their relationships and by constructing men as victims of a biased criminal justice system. This study suggests that violence against female partners is a means by which batterers reproduce a binary framework of gender.</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ompass.onlinelibrary.wiley.com/doi/10.1111/soc4.70229?af=R" TargetMode="External"/><Relationship Id="rId10" Type="http://schemas.openxmlformats.org/officeDocument/2006/relationships/hyperlink" Target="https://www.aidsmap.com/news/dec-2022/links-between-intimate-partner-violence-and-hiv-risk-among-transgender-women-require" TargetMode="External"/><Relationship Id="rId11" Type="http://schemas.openxmlformats.org/officeDocument/2006/relationships/hyperlink" Target="https://www.tandfonline.com/doi/abs/10.1080/13691058.2022.2134929" TargetMode="External"/><Relationship Id="rId12" Type="http://schemas.openxmlformats.org/officeDocument/2006/relationships/hyperlink" Target="https://www.ojp.gov/ncjrs/virtual-library/abstracts/gendering-violence-masculinity-and-power-mens-accounts-domestic" TargetMode="External"/><Relationship Id="rId13" Type="http://schemas.openxmlformats.org/officeDocument/2006/relationships/hyperlink" Target="https://www.researchgate.net/publication/249667896_Gendering_violence_Masculinity_and_power_in_men's_accounts_of_domestic_violence" TargetMode="External"/><Relationship Id="rId14" Type="http://schemas.openxmlformats.org/officeDocument/2006/relationships/hyperlink" Target="https://www.ncjrs.gov/pdffiles1/nij/grants/18876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