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Ads in India: How Visibility Meets Rainbow Capitalism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have noticed a boom in queer-friendly adverts since India struck down Section 377 in 2018, and it matters because these spots do more than sell, they reshape who’s seen and how. This piece unpacks five high-profile campaigns, showing why representation feels hopeful, yet remains tied to urban, market-friendly narratives.</w:t>
      </w:r>
      <w:r/>
    </w:p>
    <w:p>
      <w:r/>
      <w:r>
        <w:t>Essential Takeaways</w:t>
      </w:r>
      <w:r/>
      <w:r/>
    </w:p>
    <w:p>
      <w:pPr>
        <w:pStyle w:val="ListBullet"/>
        <w:spacing w:line="240" w:lineRule="auto"/>
        <w:ind w:left="720"/>
      </w:pPr>
      <w:r/>
      <w:r>
        <w:rPr>
          <w:b/>
        </w:rPr>
        <w:t>Visible shift:</w:t>
      </w:r>
      <w:r>
        <w:t xml:space="preserve"> Since 2018 brands increasingly feature LGBTQ+ characters in mainstream Indian ads, often set in urban, middle-class homes with a warm, intimate tone. </w:t>
      </w:r>
      <w:r/>
    </w:p>
    <w:p>
      <w:pPr>
        <w:pStyle w:val="ListBullet"/>
        <w:spacing w:line="240" w:lineRule="auto"/>
        <w:ind w:left="720"/>
      </w:pPr>
      <w:r/>
      <w:r>
        <w:rPr>
          <w:b/>
        </w:rPr>
        <w:t>Double-edged impact:</w:t>
      </w:r>
      <w:r>
        <w:t xml:space="preserve"> Audiences appreciate normalization but remain sceptical; survey data shows people value visibility while suspecting profit motives. </w:t>
      </w:r>
      <w:r/>
    </w:p>
    <w:p>
      <w:pPr>
        <w:pStyle w:val="ListBullet"/>
        <w:spacing w:line="240" w:lineRule="auto"/>
        <w:ind w:left="720"/>
      </w:pPr>
      <w:r/>
      <w:r>
        <w:rPr>
          <w:b/>
        </w:rPr>
        <w:t>Common patterns:</w:t>
      </w:r>
      <w:r>
        <w:t xml:space="preserve"> Ads favour same-sex, cisgender couples, romantic storylines and family acceptance, sidelining transgender and rural experiences. </w:t>
      </w:r>
      <w:r/>
    </w:p>
    <w:p>
      <w:pPr>
        <w:pStyle w:val="ListBullet"/>
        <w:spacing w:line="240" w:lineRule="auto"/>
        <w:ind w:left="720"/>
      </w:pPr>
      <w:r/>
      <w:r>
        <w:rPr>
          <w:b/>
        </w:rPr>
        <w:t>Semiotic choices matter:</w:t>
      </w:r>
      <w:r>
        <w:t xml:space="preserve"> Visuals, music and hashtags (like #FirstValentine, #FreeToLove) work together to normalize queer life while aligning it with consumption. </w:t>
      </w:r>
      <w:r/>
    </w:p>
    <w:p>
      <w:pPr>
        <w:pStyle w:val="ListBullet"/>
        <w:spacing w:line="240" w:lineRule="auto"/>
        <w:ind w:left="720"/>
      </w:pPr>
      <w:r/>
      <w:r>
        <w:rPr>
          <w:b/>
        </w:rPr>
        <w:t>Practical tip:</w:t>
      </w:r>
      <w:r>
        <w:t xml:space="preserve"> Look beyond one-off Pride ads, check a brand’s year-round policies and support for queer causes before applauding their campaigns.</w:t>
      </w:r>
      <w:r/>
      <w:r/>
    </w:p>
    <w:p>
      <w:pPr>
        <w:pStyle w:val="Heading2"/>
      </w:pPr>
      <w:r>
        <w:t>Opening hook: adverts that feel both warm and calculated</w:t>
      </w:r>
      <w:r/>
    </w:p>
    <w:p>
      <w:r/>
      <w:r>
        <w:t>You can feel the emotion in many post-2018 Indian queer ads, the soft lighting, the direct gazes, the confessional lines, but there's also a clear pattern: representation packaged to be familiar and sellable. According to a mixed-method study of five campaigns and a 100-person survey, this negotiated visibility helps destigmatise sexual minorities while sitting neatly inside market logic. Viewers like the stories, but they also read the fine print: these are campaigns made by brands that profit from inclusion.</w:t>
      </w:r>
      <w:r/>
    </w:p>
    <w:p>
      <w:pPr>
        <w:pStyle w:val="Heading2"/>
      </w:pPr>
      <w:r>
        <w:t>How five campaigns mapped a cultural moment</w:t>
      </w:r>
      <w:r/>
    </w:p>
    <w:p>
      <w:r/>
      <w:r>
        <w:t>The research selects Borosil, OkCupid, Closeup, Infosys and Amazon Prime between 2019–2023 as case studies because each explicitly centres queer narratives. Together they chart a move from secrecy to public celebration, first dates, first pride, a home at last, and use familiar tropes: family acceptance, domestic interiors and a gentle soundtrack. The ads' multimodal makeup, images, sound, captions and hashtags, creates emotional coherence that feels authentic, even when it's crafted to be broadly palatable.</w:t>
      </w:r>
      <w:r/>
    </w:p>
    <w:p>
      <w:pPr>
        <w:pStyle w:val="Heading2"/>
      </w:pPr>
      <w:r>
        <w:t>Normalisation vs narrowness: who gets to be visible?</w:t>
      </w:r>
      <w:r/>
    </w:p>
    <w:p>
      <w:r/>
      <w:r>
        <w:t>Brands commonly frame queer lives through romance and family acceptance, which is powerful for mainstream audiences but also selective. The adverts studied mostly spotlight metropolitan, English-speaking, cisgender couples. That urban, middle-class register makes queerness legible to advertisers’ target customers, but it also sidelines trans identities and rural experiences. The study’s survey shows audiences notice this limitation and often link it to deliberate market targeting rather than oversight.</w:t>
      </w:r>
      <w:r/>
    </w:p>
    <w:p>
      <w:pPr>
        <w:pStyle w:val="Heading2"/>
      </w:pPr>
      <w:r>
        <w:t>When aesthetics overshadow material issues</w:t>
      </w:r>
      <w:r/>
    </w:p>
    <w:p>
      <w:r/>
      <w:r>
        <w:t>Animation, archival clips and celebratory montages, like those used by Infosys and Amazon Prime, soften complex struggles into digestible narratives. That can be constructive for empathy-building, but it risks “rainbow-washing”: swapping substantive demands (legal protections, healthcare access, workplace policy) for colourful symbolism. The research flags a worry common among respondents: visibility without structural change can feel cosmetic.</w:t>
      </w:r>
      <w:r/>
    </w:p>
    <w:p>
      <w:pPr>
        <w:pStyle w:val="Heading2"/>
      </w:pPr>
      <w:r>
        <w:t>The audience is tuned in, and critical</w:t>
      </w:r>
      <w:r/>
    </w:p>
    <w:p>
      <w:r/>
      <w:r>
        <w:t>Quantitative results back the qualitative reading: survey respondents reported improved representation, yet they also scored corporate motives highly on scepticism. In short, people welcome representation but question whether Pride-branded merch and seasonal messaging signal real allyship. Practically, that means brands looking to be credible should pair campaigning with policy, funding and year-round support, while consumers can champion those that do.</w:t>
      </w:r>
      <w:r/>
    </w:p>
    <w:p>
      <w:pPr>
        <w:pStyle w:val="Heading2"/>
      </w:pPr>
      <w:r>
        <w:t>How to spot genuinely progressive advertising</w:t>
      </w:r>
      <w:r/>
    </w:p>
    <w:p>
      <w:r/>
      <w:r>
        <w:t>If you want to tell performative marketing from meaningful engagement, look for consistency. Does the brand publish inclusive workplace policies? Do they fund community organisations beyond Pride month? Are diverse queer voices involved behind the camera and on-screen? Ads that do only one of these things may warm your heart, but they won’t change everyday inequalities.</w:t>
      </w:r>
      <w:r/>
    </w:p>
    <w:p>
      <w:r/>
      <w:r>
        <w:t>It's a small change that can make every depiction of queer life feel a bit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Paragraph 1: , - Paragraph 2: , - Paragraph 3: , - Paragraph 4: , - Paragraph 5: , - Paragraph 6: ,</w:t>
      </w:r>
      <w:r/>
    </w:p>
    <w:p>
      <w:pPr>
        <w:pStyle w:val="Heading2"/>
      </w:pPr>
      <w:r>
        <w:t>Bibliography</w:t>
      </w:r>
      <w:r/>
    </w:p>
    <w:p>
      <w:r/>
      <w:r>
        <w:t xml:space="preserve">1. </w:t>
      </w:r>
      <w:hyperlink r:id="rId9">
        <w:r>
          <w:rPr>
            <w:color w:val="0000EE"/>
            <w:u w:val="single"/>
          </w:rPr>
          <w:t>https://www.frontiersin.org/journals/sociology/articles/10.3389/fsoc.2026.1857542/full</w:t>
        </w:r>
      </w:hyperlink>
      <w:r>
        <w:t xml:space="preserve"> - Please view link - unable to able to access data</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frontiersin.org/journals/sociology/articles/10.3389/fsoc.2026.1857542/fu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