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Global LGBTQ Rights: What the Latest Rulings and Repressions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by a U.S. Supreme Court ruling and headlines from Ukraine to Russia, readers are tuning in to understand how new court decisions, anti-LGBTQ laws, and wartime realities are reshaping rights around the world, and what that means for everyday people and activists.</w:t>
      </w:r>
      <w:r/>
    </w:p>
    <w:p>
      <w:r/>
      <w:r>
        <w:t>Essential Takeaways</w:t>
      </w:r>
      <w:r/>
      <w:r/>
    </w:p>
    <w:p>
      <w:pPr>
        <w:pStyle w:val="ListBullet"/>
        <w:spacing w:line="240" w:lineRule="auto"/>
        <w:ind w:left="720"/>
      </w:pPr>
      <w:r/>
      <w:r>
        <w:rPr>
          <w:b/>
        </w:rPr>
        <w:t>Supreme Court impact:</w:t>
      </w:r>
      <w:r>
        <w:t xml:space="preserve"> The U.S. Supreme Court upheld Idaho and West Virginia laws limiting transgender participation in female school sports, a decision likely to influence similar state-level measures and global debates.</w:t>
      </w:r>
      <w:r/>
    </w:p>
    <w:p>
      <w:pPr>
        <w:pStyle w:val="ListBullet"/>
        <w:spacing w:line="240" w:lineRule="auto"/>
        <w:ind w:left="720"/>
      </w:pPr>
      <w:r/>
      <w:r>
        <w:rPr>
          <w:b/>
        </w:rPr>
        <w:t>Crackdowns in Russia:</w:t>
      </w:r>
      <w:r>
        <w:t xml:space="preserve"> Russian courts are prosecuting LGBTQ venues and censoring symbols like rainbows, with nightclub staff jailed under an “extremism” designation for the so-called international LGBT movement.</w:t>
      </w:r>
      <w:r/>
    </w:p>
    <w:p>
      <w:pPr>
        <w:pStyle w:val="ListBullet"/>
        <w:spacing w:line="240" w:lineRule="auto"/>
        <w:ind w:left="720"/>
      </w:pPr>
      <w:r/>
      <w:r>
        <w:rPr>
          <w:b/>
        </w:rPr>
        <w:t>Frontline realities:</w:t>
      </w:r>
      <w:r>
        <w:t xml:space="preserve"> Ukraine allows LGBTQ service members to serve openly, but same-sex partners still lack legal recognition and veteran protections remain incomplete.</w:t>
      </w:r>
      <w:r/>
    </w:p>
    <w:p>
      <w:pPr>
        <w:pStyle w:val="ListBullet"/>
        <w:spacing w:line="240" w:lineRule="auto"/>
        <w:ind w:left="720"/>
      </w:pPr>
      <w:r/>
      <w:r>
        <w:rPr>
          <w:b/>
        </w:rPr>
        <w:t>Global flashpoints:</w:t>
      </w:r>
      <w:r>
        <w:t xml:space="preserve"> Events from a Pride-designated World Cup match to Bulgaria’s “family” march show how cultural and political forces weaponise family and faith messaging against LGBTQ inclusion.</w:t>
      </w:r>
      <w:r/>
    </w:p>
    <w:p>
      <w:pPr>
        <w:pStyle w:val="ListBullet"/>
        <w:spacing w:line="240" w:lineRule="auto"/>
        <w:ind w:left="720"/>
      </w:pPr>
      <w:r/>
      <w:r>
        <w:rPr>
          <w:b/>
        </w:rPr>
        <w:t>Practical note:</w:t>
      </w:r>
      <w:r>
        <w:t xml:space="preserve"> Veterans and others affected by historic bans should check compensation and record-correction schemes now, deadlines and eligibility windows are real and easily missed.</w:t>
      </w:r>
      <w:r/>
      <w:r/>
    </w:p>
    <w:p>
      <w:pPr>
        <w:pStyle w:val="Heading2"/>
      </w:pPr>
      <w:r>
        <w:t>Why the U.S. transgender-sports ruling matters beyond Idaho and West Virginia</w:t>
      </w:r>
      <w:r/>
    </w:p>
    <w:p>
      <w:r/>
      <w:r>
        <w:t>The U.S. Supreme Court’s decision upholding state bans on transgender girls in female school sports lands with a very particular thud: it validates a legal framework that other states and commentators will likely cite. Court reasoning about competitive fairness and sex-based categories will now be a reference point in dozens of legislatures and courts. For families with trans youth it’s an immediate, painful change that may close doors to school teams, while civil-rights lawyers are already plotting next steps. Practically, parents and school leaders should check local policy updates and legal clinics offering guidance; for student-athletes, speak early with coaches and school counsellors about eligibility rules and appeal routes.</w:t>
      </w:r>
      <w:r/>
    </w:p>
    <w:p>
      <w:pPr>
        <w:pStyle w:val="Heading2"/>
      </w:pPr>
      <w:r>
        <w:t>Russia’s cultural censorship and criminalisation: small symbols, large consequences</w:t>
      </w:r>
      <w:r/>
    </w:p>
    <w:p>
      <w:r/>
      <w:r>
        <w:t>When a Kremlin-aligned channel blurs a cartoon rainbow or a nightclub owner is jailed for hosting drag, it’s not just performative censorship, it’s legal signalling. Authorities in Russia have broadened “extremism” labels to include LGBTQ organising and culture, turning community spaces into criminal liability. For activists and diaspora networks, that means venues, performances and even benign imagery can be swept up in prosecutions. Human-rights groups advise documenting incidents, supporting asylum pathways, and backing legal aid funds for those detained. It’s a reminder: symbolic erasure often precedes harsher penalties.</w:t>
      </w:r>
      <w:r/>
    </w:p>
    <w:p>
      <w:pPr>
        <w:pStyle w:val="Heading2"/>
      </w:pPr>
      <w:r>
        <w:t>On the frontline: LGBTQ Ukrainians serving but still unpaid by law</w:t>
      </w:r>
      <w:r/>
    </w:p>
    <w:p>
      <w:r/>
      <w:r>
        <w:t>Ukraine’s armed forces have shown relative openness to LGBTQ service, and many serve visibly and with distinction. Yet legal recognition for same-sex partners is lagging, relevant when a service member is wounded, captured or killed. The country’s Supreme Court has issued limited rulings recognising de facto families in individual cases, but legislative solutions remain patchy. Veterans and partners should gather documentation of relationships and service records now; civil-society organisations are the best route to navigate compensation and next-of-kin claims. Long term, legal parity will hinge on political will and sustained advocacy even amid war.</w:t>
      </w:r>
      <w:r/>
    </w:p>
    <w:p>
      <w:pPr>
        <w:pStyle w:val="Heading2"/>
      </w:pPr>
      <w:r>
        <w:t>Cultural wars, sporting fields and diplomatic tightropes: the World Cup and beyond</w:t>
      </w:r>
      <w:r/>
    </w:p>
    <w:p>
      <w:r/>
      <w:r>
        <w:t>Sporting events have become flashpoints for LGBTQ visibility and diplomatic friction. When a Pride-designated match features teams from countries that criminalise same-sex relations, the result is a complex mix of player statements, federation complaints and local organisers asserting free-expression rights. FIFA permitting flags in stadiums signals that global sports bodies can protect fans’ visibility, but it won’t erase the personal risk for players and delegates from repressive states. For attendees and activists, a simple rule applies: be mindful of safety, respect local organisers’ guidance, and document any incidents affecting visiting fans or players.</w:t>
      </w:r>
      <w:r/>
    </w:p>
    <w:p>
      <w:pPr>
        <w:pStyle w:val="Heading2"/>
      </w:pPr>
      <w:r>
        <w:t>Why “traditional family” messaging is being weaponised, and what to do about it</w:t>
      </w:r>
      <w:r/>
    </w:p>
    <w:p>
      <w:r/>
      <w:r>
        <w:t>Across Bulgaria and several U.S. states, political leaders have framed pronouncements about “family” as a counter to LGBTQ visibility, creating a binary that reduces public policy debates to slogans. That rhetoric ignores the real drivers of social anxiety, housing, childcare, healthcare and economic insecurity, and diverts attention away from policies that actually support families. Campaigners should reframe the conversation: demonstrate that inclusive policies strengthen households, and push for concrete measures like paid family leave, childcare subsidies and legal recognition for diverse family forms. Voters tend to respond to practical solutions over symbolic gestures.</w:t>
      </w:r>
      <w:r/>
    </w:p>
    <w:p>
      <w:pPr>
        <w:pStyle w:val="Heading2"/>
      </w:pPr>
      <w:r>
        <w:t>Practical next steps for people affected, and for allies</w:t>
      </w:r>
      <w:r/>
    </w:p>
    <w:p>
      <w:r/>
      <w:r>
        <w:t>If you or someone you know is directly affected by new rulings, repression or historic military bans, act now: check official compensation windows (some UK veteran schemes have firm deadlines), seek legal help for records correction, gather documentation of relationships and service, and connect with established NGOs for asylum or emergency legal aid. Allies can support by donating to legal defence funds, amplifying credible reporting, and pressing representatives for targeted protections, especially where laws criminalise community spaces or make symbols illegal.</w:t>
      </w:r>
      <w:r/>
    </w:p>
    <w:p>
      <w:r/>
      <w:r>
        <w:t>It's a small set of choices that can make a big difference to people living with the consequences of these rulings and crackdowns.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 - Paragraph 6: ,</w:t>
      </w:r>
      <w:r/>
    </w:p>
    <w:p>
      <w:pPr>
        <w:pStyle w:val="Heading2"/>
      </w:pPr>
      <w:r>
        <w:t>Bibliography</w:t>
      </w:r>
      <w:r/>
    </w:p>
    <w:p>
      <w:r/>
      <w:r>
        <w:t xml:space="preserve">1. </w:t>
      </w:r>
      <w:hyperlink r:id="rId9">
        <w:r>
          <w:rPr>
            <w:color w:val="0000EE"/>
            <w:u w:val="single"/>
          </w:rPr>
          <w:t>https://goodmenproject.com/featured-content/karel-bouley-scott-douglas-jacobsen-global-lgbtq-rights-ukraine-russia-supreme-court-sjbn/</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karel-bouley-scott-douglas-jacobsen-global-lgbtq-rights-ukraine-russia-supreme-court-sjb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