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Latest Evidence on Childhood Adversity in China: What the New Study Reveals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Researchers and public-health teams in China are unpacking how childhood adversity shapes adult mental health, and why this matters for LGBTQ+ people, healthcare planners and families , the study maps patterns of trauma, links them to depression and points to how targeted support can make a real difference.</w:t>
      </w:r>
      <w:r/>
    </w:p>
    <w:p>
      <w:r/>
      <w:r>
        <w:t>Essential Takeaways</w:t>
      </w:r>
      <w:r/>
      <w:r/>
    </w:p>
    <w:p>
      <w:pPr>
        <w:pStyle w:val="ListBullet"/>
        <w:spacing w:line="240" w:lineRule="auto"/>
        <w:ind w:left="720"/>
      </w:pPr>
      <w:r/>
      <w:r>
        <w:rPr>
          <w:b/>
        </w:rPr>
        <w:t>Large, population-based sample:</w:t>
      </w:r>
      <w:r>
        <w:t xml:space="preserve"> The new research uses a broad Chinese cohort to profile adverse childhood experiences (ACEs) and their links to adult mental health.</w:t>
      </w:r>
      <w:r/>
    </w:p>
    <w:p>
      <w:pPr>
        <w:pStyle w:val="ListBullet"/>
        <w:spacing w:line="240" w:lineRule="auto"/>
        <w:ind w:left="720"/>
      </w:pPr>
      <w:r/>
      <w:r>
        <w:rPr>
          <w:b/>
        </w:rPr>
        <w:t>Distinct patterns found:</w:t>
      </w:r>
      <w:r>
        <w:t xml:space="preserve"> Researchers identified clusters of adversities , not everyone has the same mix , with some groups showing higher emotional and physical burden.</w:t>
      </w:r>
      <w:r/>
    </w:p>
    <w:p>
      <w:pPr>
        <w:pStyle w:val="ListBullet"/>
        <w:spacing w:line="240" w:lineRule="auto"/>
        <w:ind w:left="720"/>
      </w:pPr>
      <w:r/>
      <w:r>
        <w:rPr>
          <w:b/>
        </w:rPr>
        <w:t>Stronger mental-health links for minority groups:</w:t>
      </w:r>
      <w:r>
        <w:t xml:space="preserve"> Evidence aligns with international work showing sexual and gender minorities often face higher exposure to ACEs and worse outcomes.</w:t>
      </w:r>
      <w:r/>
    </w:p>
    <w:p>
      <w:pPr>
        <w:pStyle w:val="ListBullet"/>
        <w:spacing w:line="240" w:lineRule="auto"/>
        <w:ind w:left="720"/>
      </w:pPr>
      <w:r/>
      <w:r>
        <w:rPr>
          <w:b/>
        </w:rPr>
        <w:t>Actionable prevention clues:</w:t>
      </w:r>
      <w:r>
        <w:t xml:space="preserve"> The paper highlights family support, early counselling access and anti-stigma efforts as practical intervention points.</w:t>
      </w:r>
      <w:r/>
    </w:p>
    <w:p>
      <w:pPr>
        <w:pStyle w:val="ListBullet"/>
        <w:spacing w:line="240" w:lineRule="auto"/>
        <w:ind w:left="720"/>
      </w:pPr>
      <w:r/>
      <w:r>
        <w:rPr>
          <w:b/>
        </w:rPr>
        <w:t>Policy and care implications:</w:t>
      </w:r>
      <w:r>
        <w:t xml:space="preserve"> Findings push for screening in primary care, trauma-informed services and culturally sensitive outreach in China.</w:t>
      </w:r>
      <w:r/>
      <w:r/>
    </w:p>
    <w:p>
      <w:pPr>
        <w:pStyle w:val="Heading2"/>
      </w:pPr>
      <w:r>
        <w:t>Big picture first: why this paper matters now</w:t>
      </w:r>
      <w:r/>
    </w:p>
    <w:p>
      <w:r/>
      <w:r>
        <w:t>This study arrives when global health researchers are refocusing on how early-life trauma shapes adult disease, and it lands with sharp, local detail. The authors used rigorous population methods to show that childhood adversity isn’t a single, uniform problem , it comes in clusters that matter for later depression and functioning. That quiet, human detail , which adversities feel most common, and which combinations predict worse mental health , is the kind of thing clinicians and policymakers can actually use.</w:t>
      </w:r>
      <w:r/>
    </w:p>
    <w:p>
      <w:pPr>
        <w:pStyle w:val="Heading2"/>
      </w:pPr>
      <w:r>
        <w:t>What the researchers did and what they found</w:t>
      </w:r>
      <w:r/>
    </w:p>
    <w:p>
      <w:r/>
      <w:r>
        <w:t>Using validated ACE-style measures and large-scale sampling, the team grouped participants by patterns of adversities rather than counting events alone. Some people carried mostly family-related adversities, others experienced community or school-related harms, and a smaller group faced high levels across several domains. Those in the high-burden groups had noticeably higher rates of depressive symptoms and related problems. The approach mirrors modern epidemiology trends that favour pattern recognition over simple sums.</w:t>
      </w:r>
      <w:r/>
    </w:p>
    <w:p>
      <w:pPr>
        <w:pStyle w:val="Heading2"/>
      </w:pPr>
      <w:r>
        <w:t>How this connects to LGBTQ+ mental-health research</w:t>
      </w:r>
      <w:r/>
    </w:p>
    <w:p>
      <w:r/>
      <w:r>
        <w:t>International literature , including reviews and meta-analyses , has repeatedly shown that sexual and gender minorities often face disproportionate childhood adversities, from family rejection to peer victimisation. That body of work helps explain why the study’s pattern-based findings should ring alarm bells for marginalised groups in China and elsewhere. Structural stigma and discrimination amplify risk, and so strengthening family acceptance and reducing social bias remains central to prevention.</w:t>
      </w:r>
      <w:r/>
    </w:p>
    <w:p>
      <w:pPr>
        <w:pStyle w:val="Heading2"/>
      </w:pPr>
      <w:r>
        <w:t>Practical takeaways for clinicians, schools and families</w:t>
      </w:r>
      <w:r/>
    </w:p>
    <w:p>
      <w:r/>
      <w:r>
        <w:t>Screening matters, but so does nuance: a brief checklist can flag risk, yet asking about the nature and context of adverse events gives far more guidance for referral. Primary-care teams should consider routine, sensitive questions about childhood experiences and depression symptoms, and schools can use cluster-informed prevention , for instance, anti-bullying and family-support programmes targeted where peer violence or household conflict is common. Counsellors should expect varied coping needs: some people need practical safety plans, others benefit most from affirmation and social support.</w:t>
      </w:r>
      <w:r/>
    </w:p>
    <w:p>
      <w:pPr>
        <w:pStyle w:val="Heading2"/>
      </w:pPr>
      <w:r>
        <w:t>What policymakers and services should do next</w:t>
      </w:r>
      <w:r/>
    </w:p>
    <w:p>
      <w:r/>
      <w:r>
        <w:t>The study gives public-health planners a menu of interventions: trauma-informed training for frontline staff, expanded access to youth mental-health services, and community campaigns to reduce stigma. At a systems level, linking ACE screening to clear referral pathways is crucial; screening without services risks re-traumatising people. International reviews and national guidelines suggest family-based supports and anti-discrimination laws also reduce long-term harms.</w:t>
      </w:r>
      <w:r/>
    </w:p>
    <w:p>
      <w:r/>
      <w:r>
        <w:t>It's a small but important pivot , recognising patterns of childhood adversity helps us target help earlier and more fairly.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3">
        <w:r>
          <w:rPr>
            <w:color w:val="0000EE"/>
            <w:u w:val="single"/>
          </w:rPr>
          <w:t>[3]</w:t>
        </w:r>
      </w:hyperlink>
      <w:r>
        <w:t xml:space="preserve">, </w:t>
      </w:r>
      <w:hyperlink r:id="rId14">
        <w:r>
          <w:rPr>
            <w:color w:val="0000EE"/>
            <w:u w:val="single"/>
          </w:rPr>
          <w:t>[5]</w:t>
        </w:r>
      </w:hyperlink>
      <w:r>
        <w:t xml:space="preserve">- Paragraph 4: </w:t>
      </w:r>
      <w:hyperlink r:id="rId11">
        <w:r>
          <w:rPr>
            <w:color w:val="0000EE"/>
            <w:u w:val="single"/>
          </w:rPr>
          <w:t>[7]</w:t>
        </w:r>
      </w:hyperlink>
      <w:r>
        <w:t xml:space="preserve">, </w:t>
      </w:r>
      <w:hyperlink r:id="rId14">
        <w:r>
          <w:rPr>
            <w:color w:val="0000EE"/>
            <w:u w:val="single"/>
          </w:rPr>
          <w:t>[5]</w:t>
        </w:r>
      </w:hyperlink>
      <w:r>
        <w:t xml:space="preserve">- Paragraph 5: </w:t>
      </w:r>
      <w:hyperlink r:id="rId12">
        <w:r>
          <w:rPr>
            <w:color w:val="0000EE"/>
            <w:u w:val="single"/>
          </w:rPr>
          <w:t>[6]</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https://www.nature.com/articles/s41562-026-02518-0</w:t>
        </w:r>
      </w:hyperlink>
      <w:r>
        <w:t xml:space="preserve"> - Please view link - unable to able to access data</w:t>
      </w:r>
      <w:r/>
    </w:p>
    <w:p>
      <w:pPr>
        <w:pStyle w:val="ListNumber"/>
        <w:spacing w:line="240" w:lineRule="auto"/>
        <w:ind w:left="720"/>
      </w:pPr>
      <w:r/>
      <w:hyperlink r:id="rId10">
        <w:r>
          <w:rPr>
            <w:color w:val="0000EE"/>
            <w:u w:val="single"/>
          </w:rPr>
          <w:t>https://www.bmj.com/content/365/bmj.l1255</w:t>
        </w:r>
      </w:hyperlink>
      <w:r>
        <w:t xml:space="preserve"> - This study investigates the association between stress-related disorders and the subsequent risk of cardiovascular disease. Conducted in Sweden, it included 136,637 patients diagnosed with stress-related disorders, 171,314 unaffected full siblings, and 1,366,370 matched unexposed individuals. The findings indicate that individuals with stress-related disorders have a higher incidence of cardiovascular diseases compared to their siblings and the general population, with the strongest association observed for heart failure during the first year after diagnosis. The study concludes that stress-related disorders are robustly linked to multiple types of cardiovascular disease, independent of familial background and psychiatric comorbidity.</w:t>
      </w:r>
      <w:r/>
    </w:p>
    <w:p>
      <w:pPr>
        <w:pStyle w:val="ListNumber"/>
        <w:spacing w:line="240" w:lineRule="auto"/>
        <w:ind w:left="720"/>
      </w:pPr>
      <w:r/>
      <w:hyperlink r:id="rId13">
        <w:r>
          <w:rPr>
            <w:color w:val="0000EE"/>
            <w:u w:val="single"/>
          </w:rPr>
          <w:t>https://journals.sagepub.com/doi/10.1177/1524838017728708</w:t>
        </w:r>
      </w:hyperlink>
      <w:r>
        <w:t xml:space="preserve"> - This article reviews 20 years of research on violence and LGBTQ+ communities, synthesizing findings from 102 peer-reviewed articles and additional unpublished studies. The review finds no evidence supporting the notion that sexual or gender minorities pose a threat to the majority. Instead, it highlights that these minorities are at an elevated risk for physical and sexual assault, harassment, bullying, and hate crimes throughout their lives. The study calls for more research with standardized measures and larger samples of gender minorities to address these disparities.</w:t>
      </w:r>
      <w:r/>
    </w:p>
    <w:p>
      <w:pPr>
        <w:pStyle w:val="ListNumber"/>
        <w:spacing w:line="240" w:lineRule="auto"/>
        <w:ind w:left="720"/>
      </w:pPr>
      <w:r/>
      <w:hyperlink r:id="rId15">
        <w:r>
          <w:rPr>
            <w:color w:val="0000EE"/>
            <w:u w:val="single"/>
          </w:rPr>
          <w:t>https://www.rti.org/publication/understanding-acting-20-years-research-violence-lgbtq-communities</w:t>
        </w:r>
      </w:hyperlink>
      <w:r>
        <w:t xml:space="preserve"> - This publication by RTI International discusses a study that reviewed 20 years of research on violence and LGBTQ+ communities. The study synthesizes findings from 102 peer-reviewed articles and additional unpublished studies, revealing that sexual and gender minorities are at an elevated risk for various forms of violence, including physical and sexual assault, harassment, bullying, and hate crimes. The publication emphasizes the need for more research with standardized measures and larger samples of gender minorities to address these disparities.</w:t>
      </w:r>
      <w:r/>
    </w:p>
    <w:p>
      <w:pPr>
        <w:pStyle w:val="ListNumber"/>
        <w:spacing w:line="240" w:lineRule="auto"/>
        <w:ind w:left="720"/>
      </w:pPr>
      <w:r/>
      <w:hyperlink r:id="rId14">
        <w:r>
          <w:rPr>
            <w:color w:val="0000EE"/>
            <w:u w:val="single"/>
          </w:rPr>
          <w:t>https://www.ncbi.nlm.nih.gov/pmc/articles/PMC6457109/</w:t>
        </w:r>
      </w:hyperlink>
      <w:r>
        <w:t xml:space="preserve"> - This article presents a population-based, sibling-controlled cohort study assessing the association between stress-related disorders and the risk of cardiovascular disease. Conducted in Sweden, the study included 136,637 patients with stress-related disorders, 171,314 unaffected full siblings, and 1,366,370 matched unexposed individuals. The results indicate that individuals with stress-related disorders have a higher incidence of cardiovascular diseases compared to their siblings and the general population, with the strongest association observed for heart failure during the first year after diagnosis. The study concludes that stress-related disorders are robustly linked to multiple types of cardiovascular disease, independent of familial background and psychiatric comorbidity.</w:t>
      </w:r>
      <w:r/>
    </w:p>
    <w:p>
      <w:pPr>
        <w:pStyle w:val="ListNumber"/>
        <w:spacing w:line="240" w:lineRule="auto"/>
        <w:ind w:left="720"/>
      </w:pPr>
      <w:r/>
      <w:hyperlink r:id="rId12">
        <w:r>
          <w:rPr>
            <w:color w:val="0000EE"/>
            <w:u w:val="single"/>
          </w:rPr>
          <w:t>https://www.rti.org/publication/understanding-acting-twenty-years-research-violence-lgbtq-communities</w:t>
        </w:r>
      </w:hyperlink>
      <w:r>
        <w:t xml:space="preserve"> - This publication by RTI International discusses a study that reviewed 20 years of research on violence and LGBTQ+ communities. The study synthesizes findings from 102 peer-reviewed articles and additional unpublished studies, revealing that sexual and gender minorities are at an elevated risk for various forms of violence, including physical and sexual assault, harassment, bullying, and hate crimes. The publication emphasizes the need for more research with standardized measures and larger samples of gender minorities to address these disparities.</w:t>
      </w:r>
      <w:r/>
    </w:p>
    <w:p>
      <w:pPr>
        <w:pStyle w:val="ListNumber"/>
        <w:spacing w:line="240" w:lineRule="auto"/>
        <w:ind w:left="720"/>
      </w:pPr>
      <w:r/>
      <w:hyperlink r:id="rId11">
        <w:r>
          <w:rPr>
            <w:color w:val="0000EE"/>
            <w:u w:val="single"/>
          </w:rPr>
          <w:t>https://www.ncbi.nlm.nih.gov/pmc/articles/PMC6477630/</w:t>
        </w:r>
      </w:hyperlink>
      <w:r>
        <w:t xml:space="preserve"> - This article presents a correction to a previously published study on the association between stress-related disorders and the risk of cardiovascular disease. The correction addresses errors in the original publication, including the mislabeling of 'Fatal cardiovascular events' as 'Fatal cerebrovascular events' and the correction of the hazard ratio for cardiovascular disease after one year or longer of follow-up. The corrected study provides insights into the robust association between stress-related disorders and multiple types of cardiovascular disease, independent of familial background and psychiatric comorbidity.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ature.com/articles/s41562-026-02518-0" TargetMode="External"/><Relationship Id="rId10" Type="http://schemas.openxmlformats.org/officeDocument/2006/relationships/hyperlink" Target="https://www.bmj.com/content/365/bmj.l1255" TargetMode="External"/><Relationship Id="rId11" Type="http://schemas.openxmlformats.org/officeDocument/2006/relationships/hyperlink" Target="https://www.ncbi.nlm.nih.gov/pmc/articles/PMC6477630/" TargetMode="External"/><Relationship Id="rId12" Type="http://schemas.openxmlformats.org/officeDocument/2006/relationships/hyperlink" Target="https://www.rti.org/publication/understanding-acting-twenty-years-research-violence-lgbtq-communities" TargetMode="External"/><Relationship Id="rId13" Type="http://schemas.openxmlformats.org/officeDocument/2006/relationships/hyperlink" Target="https://journals.sagepub.com/doi/10.1177/1524838017728708" TargetMode="External"/><Relationship Id="rId14" Type="http://schemas.openxmlformats.org/officeDocument/2006/relationships/hyperlink" Target="https://www.ncbi.nlm.nih.gov/pmc/articles/PMC6457109/" TargetMode="External"/><Relationship Id="rId15" Type="http://schemas.openxmlformats.org/officeDocument/2006/relationships/hyperlink" Target="https://www.rti.org/publication/understanding-acting-20-years-research-violence-lgbtq-commun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