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pStyle w:val="Heading1"/>
      </w:pPr>
      <w:r>
        <w:t>Best Ways Seattle Is Staying Weird — and Why It Matters to Newcomers</w:t>
      </w:r>
      <w:r/>
    </w:p>
    <w:p>
      <w:r/>
      <w:r/>
    </w:p>
    <w:p>
      <w:r>
        <w:drawing>
          <wp:inline xmlns:a="http://schemas.openxmlformats.org/drawingml/2006/main" xmlns:pic="http://schemas.openxmlformats.org/drawingml/2006/picture">
            <wp:extent cx="5080000" cy="290285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80000" cy="290285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/>
      <w:r>
        <w:rPr>
          <w:b/>
        </w:rPr>
        <w:t>Notice how people love to tell you how to be a Seattleite. From coffee rituals to the so-called “Seattle Freeze,” locals and newcomers alike are debating what to keep, what to toss, and what really counts as authentic culture , and the stakes feel higher as big money reshapes neighbourhoods and traditions.</w:t>
      </w:r>
      <w:r/>
    </w:p>
    <w:p>
      <w:r/>
      <w:r>
        <w:t>Essential Takeaways</w:t>
      </w:r>
      <w:r/>
      <w:r/>
    </w:p>
    <w:p>
      <w:pPr>
        <w:pStyle w:val="ListBullet"/>
        <w:spacing w:line="240" w:lineRule="auto"/>
        <w:ind w:left="720"/>
      </w:pPr>
      <w:r/>
      <w:r>
        <w:rPr>
          <w:b/>
        </w:rPr>
        <w:t>Local identity persists:</w:t>
      </w:r>
      <w:r>
        <w:t xml:space="preserve"> Seattle’s culture is a patchwork of activists, artists and long-time communities, not a single checklist.</w:t>
      </w:r>
      <w:r/>
    </w:p>
    <w:p>
      <w:pPr>
        <w:pStyle w:val="ListBullet"/>
        <w:spacing w:line="240" w:lineRule="auto"/>
        <w:ind w:left="720"/>
      </w:pPr>
      <w:r/>
      <w:r>
        <w:rPr>
          <w:b/>
        </w:rPr>
        <w:t>Not everything is quaint:</w:t>
      </w:r>
      <w:r>
        <w:t xml:space="preserve"> Institutions and public spaces face real threats from development and wealthy interests, leaving emotional as well as physical gaps.</w:t>
      </w:r>
      <w:r/>
    </w:p>
    <w:p>
      <w:pPr>
        <w:pStyle w:val="ListBullet"/>
        <w:spacing w:line="240" w:lineRule="auto"/>
        <w:ind w:left="720"/>
      </w:pPr>
      <w:r/>
      <w:r>
        <w:rPr>
          <w:b/>
        </w:rPr>
        <w:t>The “Seattle Freeze” is complicated:</w:t>
      </w:r>
      <w:r>
        <w:t xml:space="preserve"> Social norms around friendliness and privacy have historical roots but are often overstated.</w:t>
      </w:r>
      <w:r/>
    </w:p>
    <w:p>
      <w:pPr>
        <w:pStyle w:val="ListBullet"/>
        <w:spacing w:line="240" w:lineRule="auto"/>
        <w:ind w:left="720"/>
      </w:pPr>
      <w:r/>
      <w:r>
        <w:rPr>
          <w:b/>
        </w:rPr>
        <w:t>LGBTQ+ history matters:</w:t>
      </w:r>
      <w:r>
        <w:t xml:space="preserve"> Pride and queer activism have shaped the city’s collectivist, defiant streak.</w:t>
      </w:r>
      <w:r/>
    </w:p>
    <w:p>
      <w:pPr>
        <w:pStyle w:val="ListBullet"/>
        <w:spacing w:line="240" w:lineRule="auto"/>
        <w:ind w:left="720"/>
      </w:pPr>
      <w:r/>
      <w:r>
        <w:rPr>
          <w:b/>
        </w:rPr>
        <w:t>Practical tip:</w:t>
      </w:r>
      <w:r>
        <w:t xml:space="preserve"> Learn the neighbourhood histories, support small orgs and visit public parks , it’s the best way to belong here.</w:t>
      </w:r>
      <w:r/>
      <w:r/>
    </w:p>
    <w:p>
      <w:pPr>
        <w:pStyle w:val="Heading2"/>
      </w:pPr>
      <w:r>
        <w:t>What “being Seattle” really looks like , it’s less about rules, more about spirit</w:t>
      </w:r>
      <w:r/>
    </w:p>
    <w:p>
      <w:r/>
      <w:r>
        <w:t>Start with the obvious: Seattle isn’t a single thing, it’s a mix , a soft, mossy collage of working-class grit, counterculture, immigrant communities and unapologetic oddballs. That’s the sensory truth you’ll notice in a damp afternoon market or a noisy protest, and it’s what keeps the city feeling alive. Histories of labour actions, grunge’s scruffy howl and decades of queer activism give the place a collective, irreverent character. So when someone hands you a list of dos and don’ts, remember it’s the city’s rebellious attitude , not a dress code , that’s the real hallmark.</w:t>
      </w:r>
      <w:r/>
    </w:p>
    <w:p>
      <w:pPr>
        <w:pStyle w:val="Heading2"/>
      </w:pPr>
      <w:r>
        <w:t>The “Seattle Freeze”: myth, history and what newcomers should know</w:t>
      </w:r>
      <w:r/>
    </w:p>
    <w:p>
      <w:r/>
      <w:r>
        <w:t>People love a good label, and the “Seattle Freeze” has legs. But according to local histories and community accounts, that chilly social myth mixes real behaviours , privacy, sardonic humour, cautious friendliness , with exaggeration. It helps to think of it less as rejection and more as a different social rhythm: polite at first, slower to trust. If you’re new, try small acts of engagement , a friendly nod on the bus, regular coffee-shop visits, volunteer shifts , and you’ll find warmth follows routine. The city’s social habits are practical as much as cultural.</w:t>
      </w:r>
      <w:r/>
    </w:p>
    <w:p>
      <w:pPr>
        <w:pStyle w:val="Heading2"/>
      </w:pPr>
      <w:r>
        <w:t>Why queer and activist histories define the city more than coffee</w:t>
      </w:r>
      <w:r/>
    </w:p>
    <w:p>
      <w:r/>
      <w:r>
        <w:t>Walk into any Pride march or look back at coverage of past protests and you’ll see how Seattle’s character formed in public, noisy spaces. LGBTQ+ organising, community papers and public demonstrations helped carve out social life that prizes inclusion and defiance. That legacy matters now because it shapes local priorities , from protecting public parks to insisting on representation at events. If you want to plug into Seattle’s authentic energy, support civic groups and queer institutions; they’re where the city’s values are practised, not just preached.</w:t>
      </w:r>
      <w:r/>
    </w:p>
    <w:p>
      <w:pPr>
        <w:pStyle w:val="Heading2"/>
      </w:pPr>
      <w:r>
        <w:t>Gentrification and billionaires: the real pressures on local culture</w:t>
      </w:r>
      <w:r/>
    </w:p>
    <w:p>
      <w:r/>
      <w:r>
        <w:t>There’s a difference between cultural change and cultural erasure, and many locals worry about the latter. As multinational corporations and ultra-wealthy residents expand their influence, beloved businesses and gathering spots face closures or transformation. This isn’t just nostalgic hand-wringing; it’s about who gets to afford to participate in city life. The practical response is local: vote on development issues, shop at independent stores, and use public spaces intentionally. Small acts make a cumulative difference when money is reshaping the map.</w:t>
      </w:r>
      <w:r/>
    </w:p>
    <w:p>
      <w:pPr>
        <w:pStyle w:val="Heading2"/>
      </w:pPr>
      <w:r>
        <w:t>How to be a good newcomer without surrendering your roots</w:t>
      </w:r>
      <w:r/>
    </w:p>
    <w:p>
      <w:r/>
      <w:r>
        <w:t>Moving here doesn’t demand an oath to a checklist. Instead, treat Seattle like a conversation you’ve just joined: listen, learn, and add your voice without erasing others. Learn neighbourhood histories, attend community meetings, and show up for local causes. Bring your accent, your umbrella habits and your baked goods; the city’s collectivist streak rewards participation over pretense. And if someone claims a purity test of “Seattleness,” smile and side-step , the city’s best trait is its tolerance for being a bit weird.</w:t>
      </w:r>
      <w:r/>
    </w:p>
    <w:p>
      <w:r/>
      <w:r>
        <w:t>It's a small cultural choice every day: show up, support local people and institutions, and the city keeps what makes it special.</w:t>
      </w:r>
      <w:r/>
    </w:p>
    <w:p>
      <w:pPr>
        <w:pStyle w:val="Heading3"/>
      </w:pPr>
      <w:r>
        <w:t>Source Reference Map</w:t>
      </w:r>
      <w:r/>
    </w:p>
    <w:p>
      <w:r/>
      <w:r>
        <w:rPr>
          <w:b/>
        </w:rPr>
        <w:t>Story idea inspired by:</w:t>
      </w:r>
      <w:r>
        <w:t xml:space="preserve"> </w:t>
      </w:r>
      <w:hyperlink r:id="rId9">
        <w:r>
          <w:rPr>
            <w:color w:val="0000EE"/>
            <w:u w:val="single"/>
          </w:rPr>
          <w:t>[1]</w:t>
        </w:r>
      </w:hyperlink>
      <w:r/>
    </w:p>
    <w:p>
      <w:r/>
      <w:r>
        <w:rPr>
          <w:b/>
        </w:rPr>
        <w:t>Sources by paragraph:</w:t>
      </w:r>
      <w:r>
        <w:t xml:space="preserve">- Paragraph 1: </w:t>
      </w:r>
      <w:hyperlink r:id="rId10">
        <w:r>
          <w:rPr>
            <w:color w:val="0000EE"/>
            <w:u w:val="single"/>
          </w:rPr>
          <w:t>[3]</w:t>
        </w:r>
      </w:hyperlink>
      <w:r>
        <w:t xml:space="preserve">, </w:t>
      </w:r>
      <w:hyperlink r:id="rId11">
        <w:r>
          <w:rPr>
            <w:color w:val="0000EE"/>
            <w:u w:val="single"/>
          </w:rPr>
          <w:t>[5]</w:t>
        </w:r>
      </w:hyperlink>
      <w:r>
        <w:t xml:space="preserve">- Paragraph 2: </w:t>
      </w:r>
      <w:hyperlink r:id="rId12">
        <w:r>
          <w:rPr>
            <w:color w:val="0000EE"/>
            <w:u w:val="single"/>
          </w:rPr>
          <w:t>[4]</w:t>
        </w:r>
      </w:hyperlink>
      <w:r>
        <w:t xml:space="preserve">, </w:t>
      </w:r>
      <w:hyperlink r:id="rId10">
        <w:r>
          <w:rPr>
            <w:color w:val="0000EE"/>
            <w:u w:val="single"/>
          </w:rPr>
          <w:t>[3]</w:t>
        </w:r>
      </w:hyperlink>
      <w:r>
        <w:t xml:space="preserve">- Paragraph 3: </w:t>
      </w:r>
      <w:hyperlink r:id="rId13">
        <w:r>
          <w:rPr>
            <w:color w:val="0000EE"/>
            <w:u w:val="single"/>
          </w:rPr>
          <w:t>[6]</w:t>
        </w:r>
      </w:hyperlink>
      <w:r>
        <w:t xml:space="preserve">, </w:t>
      </w:r>
      <w:hyperlink r:id="rId11">
        <w:r>
          <w:rPr>
            <w:color w:val="0000EE"/>
            <w:u w:val="single"/>
          </w:rPr>
          <w:t>[5]</w:t>
        </w:r>
      </w:hyperlink>
      <w:r>
        <w:t xml:space="preserve">- Paragraph 4: </w:t>
      </w:r>
      <w:hyperlink r:id="rId9">
        <w:r>
          <w:rPr>
            <w:color w:val="0000EE"/>
            <w:u w:val="single"/>
          </w:rPr>
          <w:t>[1]</w:t>
        </w:r>
      </w:hyperlink>
      <w:r>
        <w:t xml:space="preserve">, </w:t>
      </w:r>
      <w:hyperlink r:id="rId10">
        <w:r>
          <w:rPr>
            <w:color w:val="0000EE"/>
            <w:u w:val="single"/>
          </w:rPr>
          <w:t>[3]</w:t>
        </w:r>
      </w:hyperlink>
      <w:r>
        <w:t xml:space="preserve">- Paragraph 5: </w:t>
      </w:r>
      <w:hyperlink r:id="rId9">
        <w:r>
          <w:rPr>
            <w:color w:val="0000EE"/>
            <w:u w:val="single"/>
          </w:rPr>
          <w:t>[2]</w:t>
        </w:r>
      </w:hyperlink>
      <w:r>
        <w:t xml:space="preserve">, </w:t>
      </w:r>
      <w:hyperlink r:id="rId14">
        <w:r>
          <w:rPr>
            <w:color w:val="0000EE"/>
            <w:u w:val="single"/>
          </w:rPr>
          <w:t>[7]</w:t>
        </w:r>
      </w:hyperlink>
      <w:r/>
    </w:p>
    <w:p>
      <w:pPr>
        <w:pStyle w:val="Heading2"/>
      </w:pPr>
      <w:r>
        <w:t>Bibliography</w:t>
      </w:r>
      <w:r/>
      <w:r/>
    </w:p>
    <w:p>
      <w:pPr>
        <w:pStyle w:val="ListNumber"/>
        <w:numPr>
          <w:ilvl w:val="0"/>
          <w:numId w:val="14"/>
        </w:numPr>
        <w:spacing w:line="240" w:lineRule="auto"/>
        <w:ind w:left="720"/>
      </w:pPr>
      <w:r/>
      <w:hyperlink r:id="rId9">
        <w:r>
          <w:rPr>
            <w:color w:val="0000EE"/>
            <w:u w:val="single"/>
          </w:rPr>
          <w:t>https://www.sgn.org/story/168390/</w:t>
        </w:r>
      </w:hyperlink>
      <w:r>
        <w:t xml:space="preserve"> - Please view link - unable to able to access data</w:t>
      </w:r>
      <w:r/>
    </w:p>
    <w:p>
      <w:pPr>
        <w:pStyle w:val="ListNumber"/>
        <w:spacing w:line="240" w:lineRule="auto"/>
        <w:ind w:left="720"/>
      </w:pPr>
      <w:r/>
      <w:hyperlink r:id="rId9">
        <w:r>
          <w:rPr>
            <w:color w:val="0000EE"/>
            <w:u w:val="single"/>
          </w:rPr>
          <w:t>https://www.sgn.org/story/168390/</w:t>
        </w:r>
      </w:hyperlink>
      <w:r>
        <w:t xml:space="preserve"> - An op-ed from the Seattle Gay News criticising nativism and The Stranger's 'How to Seattle' guide, advocating for inclusivity and cultural evolution in Seattle.</w:t>
      </w:r>
      <w:r/>
    </w:p>
    <w:p>
      <w:pPr>
        <w:pStyle w:val="ListNumber"/>
        <w:spacing w:line="240" w:lineRule="auto"/>
        <w:ind w:left="720"/>
      </w:pPr>
      <w:r/>
      <w:hyperlink r:id="rId10">
        <w:r>
          <w:rPr>
            <w:color w:val="0000EE"/>
            <w:u w:val="single"/>
          </w:rPr>
          <w:t>https://en.wikipedia.org/wiki/LGBTQ_culture_in_Seattle</w:t>
        </w:r>
      </w:hyperlink>
      <w:r>
        <w:t xml:space="preserve"> - An overview of Seattle's LGBTQ culture, highlighting its history, significant events, and the city's role as a hub for LGBTQ rights and activism.</w:t>
      </w:r>
      <w:r/>
    </w:p>
    <w:p>
      <w:pPr>
        <w:pStyle w:val="ListNumber"/>
        <w:spacing w:line="240" w:lineRule="auto"/>
        <w:ind w:left="720"/>
      </w:pPr>
      <w:r/>
      <w:hyperlink r:id="rId12">
        <w:r>
          <w:rPr>
            <w:color w:val="0000EE"/>
            <w:u w:val="single"/>
          </w:rPr>
          <w:t>https://en.wikipedia.org/wiki/Seattle_Freeze</w:t>
        </w:r>
      </w:hyperlink>
      <w:r>
        <w:t xml:space="preserve"> - An article discussing the 'Seattle Freeze', a social phenomenon where newcomers find it difficult to make friends in Seattle, often perceived as standoffish or distant.</w:t>
      </w:r>
      <w:r/>
    </w:p>
    <w:p>
      <w:pPr>
        <w:pStyle w:val="ListNumber"/>
        <w:spacing w:line="240" w:lineRule="auto"/>
        <w:ind w:left="720"/>
      </w:pPr>
      <w:r/>
      <w:hyperlink r:id="rId11">
        <w:r>
          <w:rPr>
            <w:color w:val="0000EE"/>
            <w:u w:val="single"/>
          </w:rPr>
          <w:t>https://seattlemag.com/seattle-culture/celebrating-50-years-of-seattle-pride/</w:t>
        </w:r>
      </w:hyperlink>
      <w:r>
        <w:t xml:space="preserve"> - A feature celebrating 50 years of Seattle Pride, reflecting on its growth from 200 attendees in 1974 to over 300,000 today, and its significance in Washington's LGBTQ+ history.</w:t>
      </w:r>
      <w:r/>
    </w:p>
    <w:p>
      <w:pPr>
        <w:pStyle w:val="ListNumber"/>
        <w:spacing w:line="240" w:lineRule="auto"/>
        <w:ind w:left="720"/>
      </w:pPr>
      <w:r/>
      <w:hyperlink r:id="rId13">
        <w:r>
          <w:rPr>
            <w:color w:val="0000EE"/>
            <w:u w:val="single"/>
          </w:rPr>
          <w:t>https://depts.washington.edu/civilr/lgbtq_intro.htm</w:t>
        </w:r>
      </w:hyperlink>
      <w:r>
        <w:t xml:space="preserve"> - An introduction to LGBTQ activism in Seattle, detailing the community's history and the establishment of support centres like the Seattle Counseling Service for Sexual Minorities.</w:t>
      </w:r>
      <w:r/>
    </w:p>
    <w:p>
      <w:pPr>
        <w:pStyle w:val="ListNumber"/>
        <w:spacing w:line="240" w:lineRule="auto"/>
        <w:ind w:left="720"/>
      </w:pPr>
      <w:r/>
      <w:hyperlink r:id="rId14">
        <w:r>
          <w:rPr>
            <w:color w:val="0000EE"/>
            <w:u w:val="single"/>
          </w:rPr>
          <w:t>https://depts.washington.edu/civilr/lgbtq_history.htm</w:t>
        </w:r>
      </w:hyperlink>
      <w:r>
        <w:t xml:space="preserve"> - A brief history of LGBTQ activism in Seattle, covering significant events and the emergence of the community in the 1930s, including the opening of the Double Header bar in 1934.</w:t>
      </w:r>
      <w:r/>
    </w:p>
    <w:sectPr w:rsidR="008F16EB" w:rsidRPr="008F16EB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altName w:val="Courier New"/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3565639">
    <w:abstractNumId w:val="8"/>
  </w:num>
  <w:num w:numId="2" w16cid:durableId="1689715716">
    <w:abstractNumId w:val="6"/>
  </w:num>
  <w:num w:numId="3" w16cid:durableId="1422219261">
    <w:abstractNumId w:val="5"/>
  </w:num>
  <w:num w:numId="4" w16cid:durableId="1639651746">
    <w:abstractNumId w:val="4"/>
  </w:num>
  <w:num w:numId="5" w16cid:durableId="268244051">
    <w:abstractNumId w:val="7"/>
  </w:num>
  <w:num w:numId="6" w16cid:durableId="527262389">
    <w:abstractNumId w:val="3"/>
  </w:num>
  <w:num w:numId="7" w16cid:durableId="2116093898">
    <w:abstractNumId w:val="2"/>
  </w:num>
  <w:num w:numId="8" w16cid:durableId="1487162739">
    <w:abstractNumId w:val="1"/>
  </w:num>
  <w:num w:numId="9" w16cid:durableId="1639265226">
    <w:abstractNumId w:val="0"/>
  </w:num>
  <w:num w:numId="10" w16cid:durableId="495808350">
    <w:abstractNumId w:val="7"/>
    <w:lvlOverride w:ilvl="0">
      <w:startOverride w:val="1"/>
    </w:lvlOverride>
  </w:num>
  <w:num w:numId="11" w16cid:durableId="1894850684">
    <w:abstractNumId w:val="9"/>
  </w:num>
  <w:num w:numId="12" w16cid:durableId="1467312115">
    <w:abstractNumId w:val="9"/>
  </w:num>
  <w:num w:numId="13" w16cid:durableId="1615862868">
    <w:abstractNumId w:val="9"/>
  </w:num>
  <w:num w:numId="14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efaultTabStop w:val="720"/>
  <w:defaultTableStyle w:val="Noah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E31"/>
    <w:rsid w:val="00034616"/>
    <w:rsid w:val="0006063C"/>
    <w:rsid w:val="0015074B"/>
    <w:rsid w:val="0029639D"/>
    <w:rsid w:val="00326F90"/>
    <w:rsid w:val="00327C26"/>
    <w:rsid w:val="006072D1"/>
    <w:rsid w:val="00641096"/>
    <w:rsid w:val="00733E31"/>
    <w:rsid w:val="00782A44"/>
    <w:rsid w:val="007D0B83"/>
    <w:rsid w:val="008F16EB"/>
    <w:rsid w:val="00920A5B"/>
    <w:rsid w:val="00AA1D8D"/>
    <w:rsid w:val="00B47730"/>
    <w:rsid w:val="00CB0664"/>
    <w:rsid w:val="00F369D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B5D908"/>
  <w14:defaultImageDpi w14:val="300"/>
  <w15:docId w15:val="{AFAB448B-A191-DB46-889A-C1A710B4F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eorgia" w:hAnsi="Georgia" w:cs="Georgia"/>
        <w:sz w:val="22"/>
        <w:szCs w:val="22"/>
        <w:lang w:val="en-US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96"/>
  </w:style>
  <w:style w:type="paragraph" w:styleId="Heading1">
    <w:name w:val="heading 1"/>
    <w:basedOn w:val="Normal"/>
    <w:next w:val="Normal"/>
    <w:link w:val="Heading1Char"/>
    <w:uiPriority w:val="9"/>
    <w:qFormat/>
    <w:rsid w:val="00641096"/>
    <w:pPr>
      <w:keepNext/>
      <w:keepLines/>
      <w:spacing w:before="240" w:after="160" w:line="240" w:lineRule="auto"/>
      <w:outlineLvl w:val="0"/>
    </w:pPr>
    <w:rPr>
      <w:rFonts w:ascii="Georgia" w:hAnsi="Georgia" w:cs="Georgia"/>
      <w:b/>
      <w:bCs/>
      <w:color w:val="1C1917"/>
      <w:sz w:val="52"/>
      <w:szCs w:val="52"/>
      <w:w w:val="9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1096"/>
    <w:pPr>
      <w:keepNext/>
      <w:keepLines/>
      <w:spacing w:before="400" w:after="120"/>
      <w:outlineLvl w:val="1"/>
    </w:pPr>
    <w:rPr>
      <w:rFonts w:ascii="Georgia" w:hAnsi="Georgia" w:cs="Georgia"/>
      <w:b/>
      <w:bCs/>
      <w:color w:val="1C1917"/>
      <w:sz w:val="36"/>
      <w:szCs w:val="36"/>
      <w:w w:val="9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1096"/>
    <w:pPr>
      <w:keepNext/>
      <w:keepLines/>
      <w:spacing w:before="320" w:after="80"/>
      <w:outlineLvl w:val="2"/>
    </w:pPr>
    <w:rPr>
      <w:rFonts w:ascii="Georgia" w:hAnsi="Georgia" w:cs="Georgia"/>
      <w:b/>
      <w:bCs/>
      <w:color w:val="374151"/>
      <w:sz w:val="28"/>
      <w:szCs w:val="28"/>
      <w:w w:val="9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109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10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A2F4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109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A2F4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109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109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156082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109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link w:val="NoSpacingChar"/>
    <w:uiPriority w:val="1"/>
    <w:qFormat/>
    <w:rsid w:val="0064109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41096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641096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41096"/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641096"/>
    <w:pPr>
      <w:pBdr>
        <w:bottom w:val="single" w:sz="8" w:space="4" w:color="156082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41096"/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1096"/>
    <w:pPr>
      <w:numPr>
        <w:ilvl w:val="1"/>
      </w:numPr>
    </w:pPr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41096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641096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641096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641096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1096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1096"/>
    <w:rPr>
      <w:rFonts w:asciiTheme="majorHAnsi" w:eastAsiaTheme="majorEastAsia" w:hAnsiTheme="majorHAnsi" w:cstheme="majorBidi"/>
      <w:color w:val="0A2F4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1096"/>
    <w:rPr>
      <w:rFonts w:asciiTheme="majorHAnsi" w:eastAsiaTheme="majorEastAsia" w:hAnsiTheme="majorHAnsi" w:cstheme="majorBidi"/>
      <w:i/>
      <w:iCs/>
      <w:color w:val="0A2F4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10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1096"/>
    <w:rPr>
      <w:rFonts w:asciiTheme="majorHAnsi" w:eastAsiaTheme="majorEastAsia" w:hAnsiTheme="majorHAnsi" w:cstheme="majorBidi"/>
      <w:color w:val="156082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10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41096"/>
    <w:pPr>
      <w:spacing w:line="240" w:lineRule="auto"/>
    </w:pPr>
    <w:rPr>
      <w:b/>
      <w:bCs/>
      <w:color w:val="156082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641096"/>
    <w:rPr>
      <w:b/>
      <w:bCs/>
    </w:rPr>
  </w:style>
  <w:style w:type="character" w:styleId="Emphasis">
    <w:name w:val="Emphasis"/>
    <w:basedOn w:val="DefaultParagraphFont"/>
    <w:uiPriority w:val="20"/>
    <w:qFormat/>
    <w:rsid w:val="00641096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1096"/>
    <w:pPr>
      <w:pBdr>
        <w:bottom w:val="single" w:sz="4" w:space="4" w:color="156082" w:themeColor="accent1"/>
      </w:pBdr>
      <w:spacing w:before="200" w:after="280"/>
      <w:ind w:left="936" w:right="936"/>
    </w:pPr>
    <w:rPr>
      <w:b/>
      <w:bCs/>
      <w:i/>
      <w:iCs/>
      <w:color w:val="156082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1096"/>
    <w:rPr>
      <w:b/>
      <w:bCs/>
      <w:i/>
      <w:iCs/>
      <w:color w:val="156082" w:themeColor="accent1"/>
    </w:rPr>
  </w:style>
  <w:style w:type="character" w:styleId="SubtleEmphasis">
    <w:name w:val="Subtle Emphasis"/>
    <w:basedOn w:val="DefaultParagraphFont"/>
    <w:uiPriority w:val="19"/>
    <w:qFormat/>
    <w:rsid w:val="00641096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641096"/>
    <w:rPr>
      <w:b/>
      <w:bCs/>
      <w:i/>
      <w:iCs/>
      <w:color w:val="156082" w:themeColor="accent1"/>
    </w:rPr>
  </w:style>
  <w:style w:type="character" w:styleId="SubtleReference">
    <w:name w:val="Subtle Reference"/>
    <w:basedOn w:val="DefaultParagraphFont"/>
    <w:uiPriority w:val="31"/>
    <w:qFormat/>
    <w:rsid w:val="00641096"/>
    <w:rPr>
      <w:smallCaps/>
      <w:color w:val="E97132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641096"/>
    <w:rPr>
      <w:b/>
      <w:bCs/>
      <w:smallCaps/>
      <w:color w:val="E97132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641096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41096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character" w:customStyle="1" w:styleId="NoSpacingChar">
    <w:name w:val="No Spacing Char"/>
    <w:basedOn w:val="DefaultParagraphFont"/>
    <w:link w:val="NoSpacing"/>
    <w:uiPriority w:val="1"/>
    <w:rsid w:val="00641096"/>
  </w:style>
  <w:style w:type="paragraph" w:customStyle="1" w:styleId="PersonalName">
    <w:name w:val="Personal Name"/>
    <w:basedOn w:val="Title"/>
    <w:rsid w:val="00641096"/>
    <w:rPr>
      <w:b/>
      <w:caps/>
      <w:color w:val="000000"/>
      <w:sz w:val="28"/>
      <w:szCs w:val="28"/>
    </w:rPr>
  </w:style>
  <w:style w:type="table" w:styleId="GridTable7ColourfulAccent6">
    <w:name w:val="Grid Table 7 Colorful Accent 6"/>
    <w:basedOn w:val="TableNormal"/>
    <w:uiPriority w:val="52"/>
    <w:rsid w:val="008F16EB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1Light">
    <w:name w:val="Grid Table 1 Light"/>
    <w:basedOn w:val="TableNormal"/>
    <w:uiPriority w:val="99"/>
    <w:rsid w:val="008F16EB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6Colourful">
    <w:name w:val="List Table 6 Colorful"/>
    <w:basedOn w:val="TableNormal"/>
    <w:uiPriority w:val="51"/>
    <w:rsid w:val="008F16E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PlainTable2">
    <w:name w:val="Plain Table 2"/>
    <w:basedOn w:val="TableNormal"/>
    <w:uiPriority w:val="99"/>
    <w:rsid w:val="008F16E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99"/>
    <w:rsid w:val="008F16E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1">
    <w:name w:val="Plain Table 1"/>
    <w:basedOn w:val="TableNormal"/>
    <w:uiPriority w:val="99"/>
    <w:rsid w:val="008F16E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Noah">
    <w:name w:val="Noah"/>
    <w:basedOn w:val="TableNormal"/>
    <w:uiPriority w:val="99"/>
    <w:rsid w:val="008F16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color w:val="auto"/>
      </w:rPr>
      <w:tblPr/>
      <w:tcPr>
        <w:shd w:val="clear" w:color="auto" w:fill="E8E8E8" w:themeFill="background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8" Type="http://schemas.openxmlformats.org/officeDocument/2006/relationships/image" Target="media/image1.jpg"/><Relationship Id="rId9" Type="http://schemas.openxmlformats.org/officeDocument/2006/relationships/hyperlink" Target="https://www.sgn.org/story/168390/" TargetMode="External"/><Relationship Id="rId10" Type="http://schemas.openxmlformats.org/officeDocument/2006/relationships/hyperlink" Target="https://en.wikipedia.org/wiki/LGBTQ_culture_in_Seattle" TargetMode="External"/><Relationship Id="rId11" Type="http://schemas.openxmlformats.org/officeDocument/2006/relationships/hyperlink" Target="https://seattlemag.com/seattle-culture/celebrating-50-years-of-seattle-pride/" TargetMode="External"/><Relationship Id="rId12" Type="http://schemas.openxmlformats.org/officeDocument/2006/relationships/hyperlink" Target="https://en.wikipedia.org/wiki/Seattle_Freeze" TargetMode="External"/><Relationship Id="rId13" Type="http://schemas.openxmlformats.org/officeDocument/2006/relationships/hyperlink" Target="https://depts.washington.edu/civilr/lgbtq_intro.htm" TargetMode="External"/><Relationship Id="rId14" Type="http://schemas.openxmlformats.org/officeDocument/2006/relationships/hyperlink" Target="https://depts.washington.edu/civilr/lgbtq_history.htm" TargetMode="Externa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http://schemas.openxmlformats.org/officeDocument/2006/relationships/officeDocument" TargetMode="External"/></Relationships>
</file>

<file path=word/theme/theme1.xml><?xml version="1.0" encoding="utf-8"?>
<a:theme xmlns:a="http://schemas.openxmlformats.org/drawingml/2006/main" name="Crop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Crop">
      <a:majorFont>
        <a:latin typeface="Franklin Gothic Book" panose="020B0503020102020204"/>
        <a:ea typeface=""/>
        <a:cs typeface=""/>
      </a:majorFont>
      <a:minorFont>
        <a:latin typeface="Franklin Gothic Book" panose="020B0503020102020204"/>
        <a:ea typeface=""/>
        <a:cs typeface=""/>
      </a:minorFont>
    </a:fontScheme>
    <a:fmtScheme name="Crop">
      <a:fillStyleLst>
        <a:solidFill>
          <a:schemeClr val="phClr"/>
        </a:solidFill>
        <a:gradFill rotWithShape="1">
          <a:gsLst>
            <a:gs pos="0">
              <a:schemeClr val="phClr">
                <a:tint val="67000"/>
                <a:satMod val="105000"/>
                <a:lumMod val="110000"/>
              </a:schemeClr>
            </a:gs>
            <a:gs pos="50000">
              <a:schemeClr val="phClr">
                <a:tint val="73000"/>
                <a:satMod val="103000"/>
                <a:lumMod val="105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6350" cap="flat" cmpd="sng" algn="in">
          <a:solidFill>
            <a:schemeClr val="phClr"/>
          </a:solidFill>
          <a:prstDash val="solid"/>
        </a:ln>
        <a:ln w="34925" cap="flat" cmpd="sng" algn="in">
          <a:solidFill>
            <a:schemeClr val="phClr"/>
          </a:solidFill>
          <a:prstDash val="solid"/>
        </a:ln>
        <a:ln w="19050" cap="flat" cmpd="sng" algn="in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rop" id="{EC9488ED-E761-4D60-9AC4-764D1FE2C171}" vid="{CE19780C-D67D-4C13-9DE9-A52BC3BA51B4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template.dotx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Joao Soares</dc:creator>
  <cp:keywords/>
  <dc:description>generated by python-docx</dc:description>
  <cp:lastModifiedBy>Joao Soares</cp:lastModifiedBy>
  <cp:revision>2</cp:revision>
  <dcterms:created xsi:type="dcterms:W3CDTF">2025-04-30T15:43:00Z</dcterms:created>
  <dcterms:modified xsi:type="dcterms:W3CDTF">2025-04-30T15:43:00Z</dcterms:modified>
  <cp:category/>
</cp:coreProperties>
</file>