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Protections for HIV Bodily Autonomy and Data Privacy Right 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rights and safeguards: people living with HIV, advocates and legal groups are pushing for stronger privacy, consent and an end to criminalisation of HIV in the US, because how health data is used can change lives and even deter people from seeking care.</w:t>
      </w:r>
      <w:r/>
      <w:r/>
    </w:p>
    <w:p>
      <w:pPr>
        <w:pStyle w:val="ListBullet"/>
        <w:spacing w:line="240" w:lineRule="auto"/>
        <w:ind w:left="720"/>
      </w:pPr>
      <w:r/>
      <w:r>
        <w:rPr>
          <w:b/>
        </w:rPr>
        <w:t>Core concern:</w:t>
      </w:r>
      <w:r>
        <w:t xml:space="preserve"> Molecular HIV surveillance can trace social and sexual networks from routine blood tests, and many people feel exposed and betrayed. </w:t>
      </w:r>
      <w:r/>
    </w:p>
    <w:p>
      <w:pPr>
        <w:pStyle w:val="ListBullet"/>
        <w:spacing w:line="240" w:lineRule="auto"/>
        <w:ind w:left="720"/>
      </w:pPr>
      <w:r/>
      <w:r>
        <w:rPr>
          <w:b/>
        </w:rPr>
        <w:t>Policy gap:</w:t>
      </w:r>
      <w:r>
        <w:t xml:space="preserve"> The CDC tied molecular surveillance to federal HIV funding without broad community consent, leaving people uncertain about choice. </w:t>
      </w:r>
      <w:r/>
    </w:p>
    <w:p>
      <w:pPr>
        <w:pStyle w:val="ListBullet"/>
        <w:spacing w:line="240" w:lineRule="auto"/>
        <w:ind w:left="720"/>
      </w:pPr>
      <w:r/>
      <w:r>
        <w:rPr>
          <w:b/>
        </w:rPr>
        <w:t>Privacy risk:</w:t>
      </w:r>
      <w:r>
        <w:t xml:space="preserve"> De-identified data can be re-identified with public records; HIPAA and state laws leave loopholes. </w:t>
      </w:r>
      <w:r/>
    </w:p>
    <w:p>
      <w:pPr>
        <w:pStyle w:val="ListBullet"/>
        <w:spacing w:line="240" w:lineRule="auto"/>
        <w:ind w:left="720"/>
      </w:pPr>
      <w:r/>
      <w:r>
        <w:rPr>
          <w:b/>
        </w:rPr>
        <w:t>Criminalisation impact:</w:t>
      </w:r>
      <w:r>
        <w:t xml:space="preserve"> Hundreds of state laws still punish people for HIV exposure, disproportionately harming Black and Brown communities. </w:t>
      </w:r>
      <w:r/>
    </w:p>
    <w:p>
      <w:pPr>
        <w:pStyle w:val="ListBullet"/>
        <w:spacing w:line="240" w:lineRule="auto"/>
        <w:ind w:left="720"/>
      </w:pPr>
      <w:r/>
      <w:r>
        <w:rPr>
          <w:b/>
        </w:rPr>
        <w:t>What helps:</w:t>
      </w:r>
      <w:r>
        <w:t xml:space="preserve"> Advocates ask for informed consent, federal privacy protections, non-disclosure to law enforcement and leadership by people living with HIV.</w:t>
      </w:r>
      <w:r/>
      <w:r/>
    </w:p>
    <w:p>
      <w:pPr>
        <w:pStyle w:val="Heading2"/>
      </w:pPr>
      <w:r>
        <w:t>Why people are alarmed: the personal cost of surveillance</w:t>
      </w:r>
      <w:r/>
    </w:p>
    <w:p>
      <w:r/>
      <w:r>
        <w:t>When activists first learned labs were sequencing viral samples for surveillance, the reaction was visceral , fear, betrayal, even avoidance of care. That’s understandable: the idea that routine resistance testing might be used to infer sexual networks feels intimate and exposing. According to community leaders and advocacy groups, that dread has led some people to delay tests or stop treatment, which can worsen health and increase transmission risk. The emotional weight here matters; public health only works when people trust it.</w:t>
      </w:r>
      <w:r/>
    </w:p>
    <w:p>
      <w:pPr>
        <w:pStyle w:val="Heading2"/>
      </w:pPr>
      <w:r>
        <w:t>How molecular HIV surveillance became standard practice</w:t>
      </w:r>
      <w:r/>
    </w:p>
    <w:p>
      <w:r/>
      <w:r>
        <w:t>Molecular surveillance , analysing viral genetics to detect outbreaks , has been used for years, but a pivotal change came when the CDC made such surveillance a condition for federal HIV prevention funding. Critics say that decision rolled out without meaningful input from people living with HIV, and that lab results have been repurposed for cluster detection without clear opt-outs. Legal and advocacy organisations have documented both the scientific purpose and the policy choices that normalised this approach.</w:t>
      </w:r>
      <w:r/>
    </w:p>
    <w:p>
      <w:pPr>
        <w:pStyle w:val="Heading2"/>
      </w:pPr>
      <w:r>
        <w:t>Privacy law: protections exist, but gaps remain</w:t>
      </w:r>
      <w:r/>
    </w:p>
    <w:p>
      <w:r/>
      <w:r>
        <w:t>HIPAA gives some guardrails around health data, yet it contains exemptions and doesn’t cover all organisations offering HIV-related services. States vary wildly: some forbid disclosure to law enforcement, others allow or mandate it. Experts warn that supposedly “de-identified” sequencing data can be re-identified by combining it with voter rolls, addresses and other open records, making the danger very real for individuals. That’s why advocates want a stronger federal privacy law that prevents any health information being used in criminal, civil or immigration proceedings.</w:t>
      </w:r>
      <w:r/>
    </w:p>
    <w:p>
      <w:pPr>
        <w:pStyle w:val="Heading2"/>
      </w:pPr>
      <w:r>
        <w:t>Criminalisation is still common and often unjust</w:t>
      </w:r>
      <w:r/>
    </w:p>
    <w:p>
      <w:r/>
      <w:r>
        <w:t>Despite advances in treatment and understanding of HIV transmission, a large number of states retain laws that criminalise exposure or allow tougher sentences for people who know their status. Research shows these laws are enforced disproportionately against Black and Brown people, and many statutes ignore the science that people with an undetectable viral load can’t sexually transmit HIV. Reformers argue we should end criminalisation altogether rather than create tiers that only protect some people.</w:t>
      </w:r>
      <w:r/>
    </w:p>
    <w:p>
      <w:pPr>
        <w:pStyle w:val="Heading2"/>
      </w:pPr>
      <w:r>
        <w:t>What advocates are asking for , and how communities can respond</w:t>
      </w:r>
      <w:r/>
    </w:p>
    <w:p>
      <w:r/>
      <w:r>
        <w:t>Groups forming the HIV BASIC collective are calling for three clear things: informed consent before data use, strong privacy protections that prevent law-enforcement access, and meaningful leadership by people living with HIV in policy decisions. They also point to political organising as the practical route to change , showing up at town halls, voting informedly and running programmes that centre lived experience. Those steps both protect individuals today and rebuild the trust public health relies on.</w:t>
      </w:r>
      <w:r/>
    </w:p>
    <w:p>
      <w:pPr>
        <w:pStyle w:val="Heading2"/>
      </w:pPr>
      <w:r>
        <w:t>Practical steps for people living with HIV and allies</w:t>
      </w:r>
      <w:r/>
    </w:p>
    <w:p>
      <w:r/>
      <w:r>
        <w:t>If you’re worried about how your data is used, ask your provider whether genetic sequencing results can be shared for surveillance and whether you can opt out. Seek services from organisations that prioritise confidentiality, and connect with legal aid or advocacy groups if you’re unsure of your rights. For allies, support organisations pushing for federal privacy laws and the repeal of criminalisation statutes, and amplify the leadership of people with lived experience.</w:t>
      </w:r>
      <w:r/>
    </w:p>
    <w:p>
      <w:r/>
      <w:r>
        <w:t>It's a small change in policy that can make every test and clinic visit feel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1">
        <w:r>
          <w:rPr>
            <w:color w:val="0000EE"/>
            <w:u w:val="single"/>
          </w:rPr>
          <w:t>[4]</w:t>
        </w:r>
      </w:hyperlink>
      <w:r>
        <w:t xml:space="preserve">, </w:t>
      </w:r>
      <w:hyperlink r:id="rId10">
        <w:r>
          <w:rPr>
            <w:color w:val="0000EE"/>
            <w:u w:val="single"/>
          </w:rPr>
          <w:t>[2]</w:t>
        </w:r>
      </w:hyperlink>
      <w:r>
        <w:t xml:space="preserve">- Paragraph 3: </w:t>
      </w:r>
      <w:hyperlink r:id="rId11">
        <w:r>
          <w:rPr>
            <w:color w:val="0000EE"/>
            <w:u w:val="single"/>
          </w:rPr>
          <w:t>[4]</w:t>
        </w:r>
      </w:hyperlink>
      <w:r>
        <w:t xml:space="preserve">, </w:t>
      </w:r>
      <w:hyperlink r:id="rId12">
        <w:r>
          <w:rPr>
            <w:color w:val="0000EE"/>
            <w:u w:val="single"/>
          </w:rPr>
          <w:t>[6]</w:t>
        </w:r>
      </w:hyperlink>
      <w:r>
        <w:t xml:space="preserve">- Paragraph 4: </w:t>
      </w:r>
      <w:hyperlink r:id="rId13">
        <w:r>
          <w:rPr>
            <w:color w:val="0000EE"/>
            <w:u w:val="single"/>
          </w:rPr>
          <w:t>[5]</w:t>
        </w:r>
      </w:hyperlink>
      <w:r>
        <w:t xml:space="preserve">, </w:t>
      </w:r>
      <w:hyperlink r:id="rId14">
        <w:r>
          <w:rPr>
            <w:color w:val="0000EE"/>
            <w:u w:val="single"/>
          </w:rPr>
          <w:t>[7]</w:t>
        </w:r>
      </w:hyperlink>
      <w:r>
        <w:t xml:space="preserve">- Paragraph 5: </w:t>
      </w:r>
      <w:hyperlink r:id="rId15">
        <w:r>
          <w:rPr>
            <w:color w:val="0000EE"/>
            <w:u w:val="single"/>
          </w:rPr>
          <w:t>[3]</w:t>
        </w:r>
      </w:hyperlink>
      <w:r>
        <w:t xml:space="preserve">, </w:t>
      </w:r>
      <w:hyperlink r:id="rId10">
        <w:r>
          <w:rPr>
            <w:color w:val="0000EE"/>
            <w:u w:val="single"/>
          </w:rPr>
          <w:t>[2]</w:t>
        </w:r>
      </w:hyperlink>
      <w:r>
        <w:t xml:space="preserve">- Paragraph 6: </w:t>
      </w:r>
      <w:hyperlink r:id="rId11">
        <w:r>
          <w:rPr>
            <w:color w:val="0000EE"/>
            <w:u w:val="single"/>
          </w:rPr>
          <w:t>[4]</w:t>
        </w:r>
      </w:hyperlink>
      <w:r>
        <w:t xml:space="preserve">, </w:t>
      </w:r>
      <w:hyperlink r:id="rId15">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https://www.positivelyaware.com/articles/demand-bodily-autonomy-and-data-privacy-people-hiv</w:t>
        </w:r>
      </w:hyperlink>
      <w:r>
        <w:t xml:space="preserve"> - Please view link - unable to able to access data</w:t>
      </w:r>
      <w:r/>
    </w:p>
    <w:p>
      <w:pPr>
        <w:pStyle w:val="ListNumber"/>
        <w:spacing w:line="240" w:lineRule="auto"/>
        <w:ind w:left="720"/>
      </w:pPr>
      <w:r/>
      <w:hyperlink r:id="rId10">
        <w:r>
          <w:rPr>
            <w:color w:val="0000EE"/>
            <w:u w:val="single"/>
          </w:rPr>
          <w:t>https://www.hivlawandpolicy.org/projects/molecular-hiv-surveillance</w:t>
        </w:r>
      </w:hyperlink>
      <w:r>
        <w:t xml:space="preserve"> - The Center for HIV Law and Policy discusses the practice of molecular HIV surveillance (MHS), where public health officials analyse HIV viral sequence data without the consent of individuals living with HIV. This practice raises concerns about privacy, informed consent, and potential misuse of information, particularly in the context of HIV criminalisation. The Centre advocates for the protection of health information and the end of criminalisation of HIV and other health conditions.</w:t>
      </w:r>
      <w:r/>
    </w:p>
    <w:p>
      <w:pPr>
        <w:pStyle w:val="ListNumber"/>
        <w:spacing w:line="240" w:lineRule="auto"/>
        <w:ind w:left="720"/>
      </w:pPr>
      <w:r/>
      <w:hyperlink r:id="rId15">
        <w:r>
          <w:rPr>
            <w:color w:val="0000EE"/>
            <w:u w:val="single"/>
          </w:rPr>
          <w:t>https://www.hivlawandpolicy.org/projects/molecular-hiv-surveillance?page=0</w:t>
        </w:r>
      </w:hyperlink>
      <w:r>
        <w:t xml:space="preserve"> - The HIV Bodily Autonomy, Surveillance, and Informed Consent (HIV BASIC) initiative, led by the Center for HIV Law and Policy, addresses the human rights implications of molecular HIV surveillance. The initiative focuses on minimising harm from criminal laws targeting individuals based on their health status, advocating for informed consent, bodily autonomy, and stronger privacy protections in public health practices.</w:t>
      </w:r>
      <w:r/>
    </w:p>
    <w:p>
      <w:pPr>
        <w:pStyle w:val="ListNumber"/>
        <w:spacing w:line="240" w:lineRule="auto"/>
        <w:ind w:left="720"/>
      </w:pPr>
      <w:r/>
      <w:hyperlink r:id="rId11">
        <w:r>
          <w:rPr>
            <w:color w:val="0000EE"/>
            <w:u w:val="single"/>
          </w:rPr>
          <w:t>https://www.hivlawandpolicy.org/resources/what-molecular-hiv-surveillance-and-does-it-put-me-risk-chlp-2024</w:t>
        </w:r>
      </w:hyperlink>
      <w:r>
        <w:t xml:space="preserve"> - The Center for HIV Law and Policy provides an in-depth look at molecular HIV surveillance (MHS), explaining its framework, goals, and associated concerns. MHS involves public health officials analysing patient HIV data without their notice or consent, raising issues about privacy, informed consent, and potential misuse of information, especially in the context of HIV criminalisation.</w:t>
      </w:r>
      <w:r/>
    </w:p>
    <w:p>
      <w:pPr>
        <w:pStyle w:val="ListNumber"/>
        <w:spacing w:line="240" w:lineRule="auto"/>
        <w:ind w:left="720"/>
      </w:pPr>
      <w:r/>
      <w:hyperlink r:id="rId13">
        <w:r>
          <w:rPr>
            <w:color w:val="0000EE"/>
            <w:u w:val="single"/>
          </w:rPr>
          <w:t>https://www.hivlawandpolicy.org/resources/hiv-criminalization-united-states-sourcebook-state-and-federal-hiv-criminal-law-and</w:t>
        </w:r>
      </w:hyperlink>
      <w:r>
        <w:t xml:space="preserve"> - The Center for HIV Law and Policy's Sourcebook outlines punitive laws, policies, and cases affecting people living with HIV in all 50 states, the military, federal prisons, and U.S. territories. It includes analysis of statutory provisions that criminalise non-disclosure of HIV status, make exceptions to confidentiality rights, provide for sentence enhancements, and require sex offender registration for individuals with HIV.</w:t>
      </w:r>
      <w:r/>
    </w:p>
    <w:p>
      <w:pPr>
        <w:pStyle w:val="ListNumber"/>
        <w:spacing w:line="240" w:lineRule="auto"/>
        <w:ind w:left="720"/>
      </w:pPr>
      <w:r/>
      <w:hyperlink r:id="rId12">
        <w:r>
          <w:rPr>
            <w:color w:val="0000EE"/>
            <w:u w:val="single"/>
          </w:rPr>
          <w:t>https://www.hivlawandpolicy.org/maps</w:t>
        </w:r>
      </w:hyperlink>
      <w:r>
        <w:t xml:space="preserve"> - The Center for HIV Law and Policy's mapping project illustrates the prevalence and variety of HIV criminalisation laws across the United States. The maps highlight how 32 states criminalise people living with HIV, with 28 states having harsh criminal penalty enhancements based on a person’s knowledge of their HIV status, providing a visual representation of the legal landscape affecting individuals with HIV.</w:t>
      </w:r>
      <w:r/>
    </w:p>
    <w:p>
      <w:pPr>
        <w:pStyle w:val="ListNumber"/>
        <w:spacing w:line="240" w:lineRule="auto"/>
        <w:ind w:left="720"/>
      </w:pPr>
      <w:r/>
      <w:hyperlink r:id="rId14">
        <w:r>
          <w:rPr>
            <w:color w:val="0000EE"/>
            <w:u w:val="single"/>
          </w:rPr>
          <w:t>https://www.hivjustice.net/country/us/</w:t>
        </w:r>
      </w:hyperlink>
      <w:r>
        <w:t xml:space="preserve"> - The HIV Justice Network provides an overview of HIV criminalisation in the United States, noting that at least 2,574 cases have been reported. The network highlights that the U.S. was the first country to prosecute people living with HIV and enact HIV-specific criminal laws, with each state and territory having its own approach to criminalising alleged HIV non-disclosure, exposure, and transmission.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ositivelyaware.com/articles/demand-bodily-autonomy-and-data-privacy-people-hiv" TargetMode="External"/><Relationship Id="rId10" Type="http://schemas.openxmlformats.org/officeDocument/2006/relationships/hyperlink" Target="https://www.hivlawandpolicy.org/projects/molecular-hiv-surveillance" TargetMode="External"/><Relationship Id="rId11" Type="http://schemas.openxmlformats.org/officeDocument/2006/relationships/hyperlink" Target="https://www.hivlawandpolicy.org/resources/what-molecular-hiv-surveillance-and-does-it-put-me-risk-chlp-2024" TargetMode="External"/><Relationship Id="rId12" Type="http://schemas.openxmlformats.org/officeDocument/2006/relationships/hyperlink" Target="https://www.hivlawandpolicy.org/maps" TargetMode="External"/><Relationship Id="rId13" Type="http://schemas.openxmlformats.org/officeDocument/2006/relationships/hyperlink" Target="https://www.hivlawandpolicy.org/resources/hiv-criminalization-united-states-sourcebook-state-and-federal-hiv-criminal-law-and" TargetMode="External"/><Relationship Id="rId14" Type="http://schemas.openxmlformats.org/officeDocument/2006/relationships/hyperlink" Target="https://www.hivjustice.net/country/us/" TargetMode="External"/><Relationship Id="rId15" Type="http://schemas.openxmlformats.org/officeDocument/2006/relationships/hyperlink" Target="https://www.hivlawandpolicy.org/projects/molecular-hiv-surveillance?page=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