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EHRC Code Sparks Trans+ Solidarity Alarm Over Safety Risks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service users and campaigners have been watching closely as the revised EHRC code is set to take effect on 5 August; Trans+ Solidarity Alliance warns the guidance could heighten risks for trans people and people who don’t conform to gender norms, and it has reignited debate about how the law should protect everyone.</w:t>
      </w:r>
      <w:r/>
    </w:p>
    <w:p>
      <w:r/>
      <w:r>
        <w:t>Essential Takeaways</w:t>
      </w:r>
      <w:r/>
      <w:r/>
    </w:p>
    <w:p>
      <w:pPr>
        <w:pStyle w:val="ListBullet"/>
        <w:spacing w:line="240" w:lineRule="auto"/>
        <w:ind w:left="720"/>
      </w:pPr>
      <w:r/>
      <w:r>
        <w:rPr>
          <w:b/>
        </w:rPr>
        <w:t>Effective date:</w:t>
      </w:r>
      <w:r>
        <w:t xml:space="preserve"> The Equality and Human Rights Commission’s updated Code of Practice comes into force on 5 August. </w:t>
      </w:r>
      <w:r/>
    </w:p>
    <w:p>
      <w:pPr>
        <w:pStyle w:val="ListBullet"/>
        <w:spacing w:line="240" w:lineRule="auto"/>
        <w:ind w:left="720"/>
      </w:pPr>
      <w:r/>
      <w:r>
        <w:rPr>
          <w:b/>
        </w:rPr>
        <w:t>Legal framing:</w:t>
      </w:r>
      <w:r>
        <w:t xml:space="preserve"> The code reflects the UK Supreme Court’s ruling that “sex” in the Equality Act refers to biological sex, and explains when single-sex restrictions may be lawful. </w:t>
      </w:r>
      <w:r/>
    </w:p>
    <w:p>
      <w:pPr>
        <w:pStyle w:val="ListBullet"/>
        <w:spacing w:line="240" w:lineRule="auto"/>
        <w:ind w:left="720"/>
      </w:pPr>
      <w:r/>
      <w:r>
        <w:rPr>
          <w:b/>
        </w:rPr>
        <w:t>Safety concerns:</w:t>
      </w:r>
      <w:r>
        <w:t xml:space="preserve"> The government’s own impact assessment notes some trans people could face a higher risk of violence or scrutiny when accessing services. </w:t>
      </w:r>
      <w:r/>
    </w:p>
    <w:p>
      <w:pPr>
        <w:pStyle w:val="ListBullet"/>
        <w:spacing w:line="240" w:lineRule="auto"/>
        <w:ind w:left="720"/>
      </w:pPr>
      <w:r/>
      <w:r>
        <w:rPr>
          <w:b/>
        </w:rPr>
        <w:t>Political fallout:</w:t>
      </w:r>
      <w:r>
        <w:t xml:space="preserve"> More than 160 MPs raised objections during scrutiny, but the guidance was not debated in Parliament before enactment. </w:t>
      </w:r>
      <w:r/>
    </w:p>
    <w:p>
      <w:pPr>
        <w:pStyle w:val="ListBullet"/>
        <w:spacing w:line="240" w:lineRule="auto"/>
        <w:ind w:left="720"/>
      </w:pPr>
      <w:r/>
      <w:r>
        <w:rPr>
          <w:b/>
        </w:rPr>
        <w:t>Practical reach:</w:t>
      </w:r>
      <w:r>
        <w:t xml:space="preserve"> The code guides service providers, public bodies and associations on how to apply existing equality law; it does not create new criminal offences.</w:t>
      </w:r>
      <w:r/>
      <w:r/>
    </w:p>
    <w:p>
      <w:pPr>
        <w:pStyle w:val="Heading2"/>
      </w:pPr>
      <w:r>
        <w:t>What the new code actually does , and what it doesn’t</w:t>
      </w:r>
      <w:r/>
    </w:p>
    <w:p>
      <w:r/>
      <w:r>
        <w:t>The strongest, simplest fact to start with is this: the code is guidance, not a new criminal law, and it tells organisations how to apply the Equality Act in light of a recent Supreme Court decision. According to government publications, it’s aimed at helping providers and public bodies interpret when single-sex services can be lawfully restricted. That’s a subtle but important distinction for operators trying to balance privacy, safety and fairness. For users, the change feels immediate and practical , signage, booking systems and staff training may all be revisited.</w:t>
      </w:r>
      <w:r/>
    </w:p>
    <w:p>
      <w:r/>
      <w:r>
        <w:t>Organisations should read the code as an operational handbook rather than a policy manifesto. In plain terms, it sets out scenarios where services can lawfully limit access by sex, but it doesn’t itself outlaw or criminalise trans people using particular spaces. If you run a charity, gym or council service, this is the document that will shape risk assessments and day-to-day decisions from reception desks to changing-room policies.</w:t>
      </w:r>
      <w:r/>
    </w:p>
    <w:p>
      <w:pPr>
        <w:pStyle w:val="Heading2"/>
      </w:pPr>
      <w:r>
        <w:t>Why campaigners are alarmed , safety, dignity and lived experience</w:t>
      </w:r>
      <w:r/>
    </w:p>
    <w:p>
      <w:r/>
      <w:r>
        <w:t>Trans+ Solidarity Alliance has warned the change will “lead to widespread harm”, arguing the guidance increases vulnerability for trans people and those perceived as gender non-conforming. The group points to the government’s own Equality Impact Assessment, which flagged that some trans people could face a disproportionate risk of violence or sexual assault, and that masculine-presenting women might face more scrutiny. Those are concrete, worrying observations , not abstract legal theory.</w:t>
      </w:r>
      <w:r/>
    </w:p>
    <w:p>
      <w:r/>
      <w:r>
        <w:t>This is about lived experience as much as law. People who rely on quietly going about their day now worry they’ll be stopped, questioned or worse. Campaigners are also concerned that ambiguous guidance could prompt organisations to adopt overly cautious policies that exclude rather than include, simply to avoid litigation.</w:t>
      </w:r>
      <w:r/>
    </w:p>
    <w:p>
      <w:pPr>
        <w:pStyle w:val="Heading2"/>
      </w:pPr>
      <w:r>
        <w:t>How we got here , the Supreme Court ruling and parliamentary process</w:t>
      </w:r>
      <w:r/>
    </w:p>
    <w:p>
      <w:r/>
      <w:r>
        <w:t>The revised code follows a Supreme Court judgment that interpreted “sex” in the Equality Act as biological sex, which then prompted the EHRC to update its guidance. That ruling set the legal backdrop and compelled the regulator to clarify what organisations must do to comply. It’s a reminder that judicial decisions can cascade into administrative guidance that affects daily life.</w:t>
      </w:r>
      <w:r/>
    </w:p>
    <w:p>
      <w:r/>
      <w:r>
        <w:t>Politically, the process has been bumpy. More than 160 MPs signed an Early Day Motion asking for the draft guidance to be withdrawn, and over 90 Labour backbenchers showed concern, yet MPs weren’t given a formal debate or vote before the code completed scrutiny. That procedural gap is fueling anger and calls for legislative fixes from those who feel the current framework doesn’t reflect Parliament’s intent on trans equality.</w:t>
      </w:r>
      <w:r/>
    </w:p>
    <w:p>
      <w:pPr>
        <w:pStyle w:val="Heading2"/>
      </w:pPr>
      <w:r>
        <w:t>What this means for service providers and employers</w:t>
      </w:r>
      <w:r/>
    </w:p>
    <w:p>
      <w:r/>
      <w:r>
        <w:t>For managers, the immediate task is practical: review your policies, update staff training and carry out fresh equality impact assessments where necessary. The code is clear that organisations need to be able to justify any restriction on the basis of sex, using evidence and a proportionate approach. That means keeping records, consulting stakeholders and not making blanket exclusions without reasoned evidence.</w:t>
      </w:r>
      <w:r/>
    </w:p>
    <w:p>
      <w:r/>
      <w:r>
        <w:t>If you’re responsible for a venue or a service, consider simple steps now , clear signage, staff briefings that stress dignity and safety for all, and an appeals or incident procedure that’s easy to follow. That way you reduce the chance of misunderstandings turning into complaints or legal challenges.</w:t>
      </w:r>
      <w:r/>
    </w:p>
    <w:p>
      <w:pPr>
        <w:pStyle w:val="Heading2"/>
      </w:pPr>
      <w:r>
        <w:t>Looking ahead , fixes, debates and practical realities</w:t>
      </w:r>
      <w:r/>
    </w:p>
    <w:p>
      <w:r/>
      <w:r>
        <w:t>Expect this to remain a live political issue. Campaigners want law changes that explicitly protect trans people in a practical, workable way; some MPs want further scrutiny. Labour figures have been urged to “change course” and consider legislative amendments to balance fairness and safety. Meanwhile, organisations will navigate the code in the real world, where grey areas and human interactions matter more than abstract rules.</w:t>
      </w:r>
      <w:r/>
    </w:p>
    <w:p>
      <w:r/>
      <w:r>
        <w:t>The final picture will depend on whether Parliament chooses to legislate further, and how courts and regulators interpret disputes in coming months. For now, many people will be watching how the guidance is applied on the ground and whether it leads to the harms predicted , or to practical, evidence-based solutions.</w:t>
      </w:r>
      <w:r/>
    </w:p>
    <w:p>
      <w:r/>
      <w:r>
        <w:t>It's a small change on paper that could have big effects in practice; keep an eye on how services update their policies and on any parliamentary moves to clarify the law.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1">
        <w:r>
          <w:rPr>
            <w:color w:val="0000EE"/>
            <w:u w:val="single"/>
          </w:rPr>
          <w:t>[4]</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10">
        <w:r>
          <w:rPr>
            <w:color w:val="0000EE"/>
            <w:u w:val="single"/>
          </w:rPr>
          <w:t>[3]</w:t>
        </w:r>
      </w:hyperlink>
      <w:r>
        <w:t xml:space="preserve">, </w:t>
      </w:r>
      <w:hyperlink r:id="rId14">
        <w:r>
          <w:rPr>
            <w:color w:val="0000EE"/>
            <w:u w:val="single"/>
          </w:rPr>
          <w:t>[5]</w:t>
        </w:r>
      </w:hyperlink>
      <w:r>
        <w:t xml:space="preserve">- Paragraph 6: </w:t>
      </w:r>
      <w:hyperlink r:id="rId9">
        <w:r>
          <w:rPr>
            <w:color w:val="0000EE"/>
            <w:u w:val="single"/>
          </w:rPr>
          <w:t>[1]</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https://www.attitude.co.uk/news/trans-solidarity-alliance-condemns-new-ehrc-code-528662/</w:t>
        </w:r>
      </w:hyperlink>
      <w:r>
        <w:t xml:space="preserve"> - Please view link - unable to able to access data</w:t>
      </w:r>
      <w:r/>
    </w:p>
    <w:p>
      <w:pPr>
        <w:pStyle w:val="ListNumber"/>
        <w:spacing w:line="240" w:lineRule="auto"/>
        <w:ind w:left="720"/>
      </w:pPr>
      <w:r/>
      <w:hyperlink r:id="rId15">
        <w:r>
          <w:rPr>
            <w:color w:val="0000EE"/>
            <w:u w:val="single"/>
          </w:rPr>
          <w:t>https://www.attitude.co.uk/news/transsolidarityallianceehrccodepractice-494216/</w:t>
        </w:r>
      </w:hyperlink>
      <w:r>
        <w:t xml:space="preserve"> - Trans+ Solidarity Alliance has criticised the Equality and Human Rights Commission (EHRC) for submitting its final draft Code of Practice to the government. The group accuses the EHRC of attempting to reduce the human rights of trans people, potentially leading to a 'trans bathroom ban'. They argue that the EHRC's approach focuses on diminishing trans rights rather than protecting them. (</w:t>
      </w:r>
      <w:hyperlink r:id="rId16">
        <w:r>
          <w:rPr>
            <w:color w:val="0000EE"/>
            <w:u w:val="single"/>
          </w:rPr>
          <w:t>attitude.co.uk</w:t>
        </w:r>
      </w:hyperlink>
      <w:r>
        <w:t>)</w:t>
      </w:r>
      <w:r/>
    </w:p>
    <w:p>
      <w:pPr>
        <w:pStyle w:val="ListNumber"/>
        <w:spacing w:line="240" w:lineRule="auto"/>
        <w:ind w:left="720"/>
      </w:pPr>
      <w:r/>
      <w:hyperlink r:id="rId10">
        <w:r>
          <w:rPr>
            <w:color w:val="0000EE"/>
            <w:u w:val="single"/>
          </w:rPr>
          <w:t>https://www.gov.uk/government/news/organisations-receive-clear-accessible-guidance-on-how-to-implement-equality-law-in-updated-draft-code-of-practice</w:t>
        </w:r>
      </w:hyperlink>
      <w:r>
        <w:t xml:space="preserve"> - The UK government has laid the Equality and Human Rights Commission's (EHRC) draft updated Code of Practice for Services, Public Functions and Associations before Parliament. The draft Code aims to provide clear and accessible guidance to organisations on implementing equality law, ensuring that services are accessible, free from harassment, and uphold dignity for all individuals. (</w:t>
      </w:r>
      <w:hyperlink r:id="rId17">
        <w:r>
          <w:rPr>
            <w:color w:val="0000EE"/>
            <w:u w:val="single"/>
          </w:rPr>
          <w:t>gov.uk</w:t>
        </w:r>
      </w:hyperlink>
      <w:r>
        <w:t>)</w:t>
      </w:r>
      <w:r/>
    </w:p>
    <w:p>
      <w:pPr>
        <w:pStyle w:val="ListNumber"/>
        <w:spacing w:line="240" w:lineRule="auto"/>
        <w:ind w:left="720"/>
      </w:pPr>
      <w:r/>
      <w:hyperlink r:id="rId11">
        <w:r>
          <w:rPr>
            <w:color w:val="0000EE"/>
            <w:u w:val="single"/>
          </w:rPr>
          <w:t>https://www.gov.uk/government/publications/equality-act-2010-draft-code-of-practice-for-services-public-functions-and-associations-2026</w:t>
        </w:r>
      </w:hyperlink>
      <w:r>
        <w:t xml:space="preserve"> - The Equality and Human Rights Commission (EHRC) has published a draft updated Code of Practice for Services, Public Functions and Associations under the Equality Act 2010. This statutory guidance is designed to help organisations understand and comply with the Act, promoting equality of opportunity and reducing the need for specialist legal advice. (</w:t>
      </w:r>
      <w:hyperlink r:id="rId18">
        <w:r>
          <w:rPr>
            <w:color w:val="0000EE"/>
            <w:u w:val="single"/>
          </w:rPr>
          <w:t>gov.uk</w:t>
        </w:r>
      </w:hyperlink>
      <w:r>
        <w:t>)</w:t>
      </w:r>
      <w:r/>
    </w:p>
    <w:p>
      <w:pPr>
        <w:pStyle w:val="ListNumber"/>
        <w:spacing w:line="240" w:lineRule="auto"/>
        <w:ind w:left="720"/>
      </w:pPr>
      <w:r/>
      <w:hyperlink r:id="rId14">
        <w:r>
          <w:rPr>
            <w:color w:val="0000EE"/>
            <w:u w:val="single"/>
          </w:rPr>
          <w:t>https://www.gov.uk/government/publications/equality-act-2010-draft-code-of-practice-for-services-public-functions-and-associations-2026/final-stage-impact-assessment</w:t>
        </w:r>
      </w:hyperlink>
      <w:r>
        <w:t xml:space="preserve"> - The UK government has published a final stage impact assessment accompanying the draft updated Code of Practice for Services, Public Functions and Associations under the Equality Act 2010. This assessment evaluates the potential costs and obligations arising from the Code, aiming to provide clarity and practical guidance to organisations on their duties under the Act. (</w:t>
      </w:r>
      <w:hyperlink r:id="rId19">
        <w:r>
          <w:rPr>
            <w:color w:val="0000EE"/>
            <w:u w:val="single"/>
          </w:rPr>
          <w:t>gov.uk</w:t>
        </w:r>
      </w:hyperlink>
      <w:r>
        <w:t>)</w:t>
      </w:r>
      <w:r/>
    </w:p>
    <w:p>
      <w:pPr>
        <w:pStyle w:val="ListNumber"/>
        <w:spacing w:line="240" w:lineRule="auto"/>
        <w:ind w:left="720"/>
      </w:pPr>
      <w:r/>
      <w:hyperlink r:id="rId12">
        <w:r>
          <w:rPr>
            <w:color w:val="0000EE"/>
            <w:u w:val="single"/>
          </w:rPr>
          <w:t>https://www.gov.uk/government/publications/equality-act-2010-draft-code-of-practice-for-services-public-functions-and-associations-2026/explanatory-memorandum--2</w:t>
        </w:r>
      </w:hyperlink>
      <w:r>
        <w:t xml:space="preserve"> - An explanatory memorandum has been published alongside the draft updated Code of Practice for Services, Public Functions and Associations under the Equality Act 2010. This document provides an overview of the Code, its purpose, and the context of its development, aiming to assist organisations in understanding and complying with the Act. (</w:t>
      </w:r>
      <w:hyperlink r:id="rId20">
        <w:r>
          <w:rPr>
            <w:color w:val="0000EE"/>
            <w:u w:val="single"/>
          </w:rPr>
          <w:t>gov.uk</w:t>
        </w:r>
      </w:hyperlink>
      <w:r>
        <w:t>)</w:t>
      </w:r>
      <w:r/>
    </w:p>
    <w:p>
      <w:pPr>
        <w:pStyle w:val="ListNumber"/>
        <w:spacing w:line="240" w:lineRule="auto"/>
        <w:ind w:left="720"/>
      </w:pPr>
      <w:r/>
      <w:hyperlink r:id="rId13">
        <w:r>
          <w:rPr>
            <w:color w:val="0000EE"/>
            <w:u w:val="single"/>
          </w:rPr>
          <w:t>https://www.gov.uk/government/publications/equality-act-2010-draft-code-of-practice-for-services-public-functions-and-associations-2026/equality-impact-assessment</w:t>
        </w:r>
      </w:hyperlink>
      <w:r>
        <w:t xml:space="preserve"> - The UK government has published an equality impact assessment alongside the draft updated Code of Practice for Services, Public Functions and Associations under the Equality Act 2010. This assessment examines the potential impact of the Code on individuals with protected characteristics, ensuring that the guidance promotes equality and does not inadvertently disadvantage any group. (</w:t>
      </w:r>
      <w:hyperlink r:id="rId21">
        <w:r>
          <w:rPr>
            <w:color w:val="0000EE"/>
            <w:u w:val="single"/>
          </w:rPr>
          <w:t>gov.uk</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trans-solidarity-alliance-condemns-new-ehrc-code-528662/" TargetMode="External"/><Relationship Id="rId10" Type="http://schemas.openxmlformats.org/officeDocument/2006/relationships/hyperlink" Target="https://www.gov.uk/government/news/organisations-receive-clear-accessible-guidance-on-how-to-implement-equality-law-in-updated-draft-code-of-practice" TargetMode="External"/><Relationship Id="rId11" Type="http://schemas.openxmlformats.org/officeDocument/2006/relationships/hyperlink" Target="https://www.gov.uk/government/publications/equality-act-2010-draft-code-of-practice-for-services-public-functions-and-associations-2026" TargetMode="External"/><Relationship Id="rId12" Type="http://schemas.openxmlformats.org/officeDocument/2006/relationships/hyperlink" Target="https://www.gov.uk/government/publications/equality-act-2010-draft-code-of-practice-for-services-public-functions-and-associations-2026/explanatory-memorandum--2" TargetMode="External"/><Relationship Id="rId13" Type="http://schemas.openxmlformats.org/officeDocument/2006/relationships/hyperlink" Target="https://www.gov.uk/government/publications/equality-act-2010-draft-code-of-practice-for-services-public-functions-and-associations-2026/equality-impact-assessment" TargetMode="External"/><Relationship Id="rId14" Type="http://schemas.openxmlformats.org/officeDocument/2006/relationships/hyperlink" Target="https://www.gov.uk/government/publications/equality-act-2010-draft-code-of-practice-for-services-public-functions-and-associations-2026/final-stage-impact-assessment" TargetMode="External"/><Relationship Id="rId15" Type="http://schemas.openxmlformats.org/officeDocument/2006/relationships/hyperlink" Target="https://www.attitude.co.uk/news/transsolidarityallianceehrccodepractice-494216/" TargetMode="External"/><Relationship Id="rId16" Type="http://schemas.openxmlformats.org/officeDocument/2006/relationships/hyperlink" Target="https://www.attitude.co.uk/news/transsolidarityallianceehrccodepractice-494216/?utm_source=openai" TargetMode="External"/><Relationship Id="rId17" Type="http://schemas.openxmlformats.org/officeDocument/2006/relationships/hyperlink" Target="https://www.gov.uk/government/news/organisations-receive-clear-accessible-guidance-on-how-to-implement-equality-law-in-updated-draft-code-of-practice?utm_source=openai" TargetMode="External"/><Relationship Id="rId18" Type="http://schemas.openxmlformats.org/officeDocument/2006/relationships/hyperlink" Target="https://www.gov.uk/government/publications/equality-act-2010-draft-code-of-practice-for-services-public-functions-and-associations-2026?utm_source=openai" TargetMode="External"/><Relationship Id="rId19" Type="http://schemas.openxmlformats.org/officeDocument/2006/relationships/hyperlink" Target="https://www.gov.uk/government/publications/equality-act-2010-draft-code-of-practice-for-services-public-functions-and-associations-2026/final-stage-impact-assessment?utm_source=openai" TargetMode="External"/><Relationship Id="rId20" Type="http://schemas.openxmlformats.org/officeDocument/2006/relationships/hyperlink" Target="https://www.gov.uk/government/publications/equality-act-2010-draft-code-of-practice-for-services-public-functions-and-associations-2026/explanatory-memorandum--2?utm_source=openai" TargetMode="External"/><Relationship Id="rId21" Type="http://schemas.openxmlformats.org/officeDocument/2006/relationships/hyperlink" Target="https://www.gov.uk/government/publications/equality-act-2010-draft-code-of-practice-for-services-public-functions-and-associations-2026/equality-impact-assessmen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