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Guides to Understanding the Rise of Homonationalism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Spotting the shape of homonationalism matters now: readers are watching how queer rights are being folded into national stories, used both as a badge of progress and as a tool for exclusion. This primer explains who’s driving the shift, where it’s playing out, and what it means for activists, voters and everyday people.</w:t>
      </w:r>
      <w:r/>
    </w:p>
    <w:p>
      <w:r/>
      <w:r>
        <w:t>Essential Takeaways</w:t>
      </w:r>
      <w:r/>
      <w:r/>
    </w:p>
    <w:p>
      <w:pPr>
        <w:pStyle w:val="ListBullet"/>
        <w:spacing w:line="240" w:lineRule="auto"/>
        <w:ind w:left="720"/>
      </w:pPr>
      <w:r/>
      <w:r>
        <w:rPr>
          <w:b/>
        </w:rPr>
        <w:t>What it is:</w:t>
      </w:r>
      <w:r>
        <w:t xml:space="preserve"> Homonationalism links LGBT+ acceptance to national identity, sometimes to justify exclusion of minorities or foreign groups.</w:t>
      </w:r>
      <w:r/>
    </w:p>
    <w:p>
      <w:pPr>
        <w:pStyle w:val="ListBullet"/>
        <w:spacing w:line="240" w:lineRule="auto"/>
        <w:ind w:left="720"/>
      </w:pPr>
      <w:r/>
      <w:r>
        <w:rPr>
          <w:b/>
        </w:rPr>
        <w:t>Where it shows up:</w:t>
      </w:r>
      <w:r>
        <w:t xml:space="preserve"> From political speeches to cultural policy and even film, the narrative pops up in Western democracies and beyond.</w:t>
      </w:r>
      <w:r/>
    </w:p>
    <w:p>
      <w:pPr>
        <w:pStyle w:val="ListBullet"/>
        <w:spacing w:line="240" w:lineRule="auto"/>
        <w:ind w:left="720"/>
      </w:pPr>
      <w:r/>
      <w:r>
        <w:rPr>
          <w:b/>
        </w:rPr>
        <w:t>How it feels:</w:t>
      </w:r>
      <w:r>
        <w:t xml:space="preserve"> Often celebratory for some queer people, but can smell faintly of instrumentalisation and hypocrisy for others.</w:t>
      </w:r>
      <w:r/>
    </w:p>
    <w:p>
      <w:pPr>
        <w:pStyle w:val="ListBullet"/>
        <w:spacing w:line="240" w:lineRule="auto"/>
        <w:ind w:left="720"/>
      </w:pPr>
      <w:r/>
      <w:r>
        <w:rPr>
          <w:b/>
        </w:rPr>
        <w:t>Practical cue:</w:t>
      </w:r>
      <w:r>
        <w:t xml:space="preserve"> Watch for rhetoric that pairs gay rights with “civilisation” while blaming migrants or non-Western cultures.</w:t>
      </w:r>
      <w:r/>
    </w:p>
    <w:p>
      <w:pPr>
        <w:pStyle w:val="ListBullet"/>
        <w:spacing w:line="240" w:lineRule="auto"/>
        <w:ind w:left="720"/>
      </w:pPr>
      <w:r/>
      <w:r>
        <w:rPr>
          <w:b/>
        </w:rPr>
        <w:t>Why care:</w:t>
      </w:r>
      <w:r>
        <w:t xml:space="preserve"> It reshapes alliances and can undercut broader social justice goals unless spotted and challenged.</w:t>
      </w:r>
      <w:r/>
      <w:r/>
    </w:p>
    <w:p>
      <w:pPr>
        <w:pStyle w:val="Heading2"/>
      </w:pPr>
      <w:r>
        <w:t>What homonationalism looks like on the ground</w:t>
      </w:r>
      <w:r/>
    </w:p>
    <w:p>
      <w:r/>
      <w:r>
        <w:t>You’ll recognise homonationalism in a speech that praises a country’s LGBT+ progress while blaming immigrants or foreign cultures for “backwardness”, a tidy little contrast that flatters national pride. According to commentary and reporting, that pattern has become more visible in political debates and media portrayals over the last decade. Activists say it can sting: acceptance is welcomed, but when it’s used to exclude others the moral equation becomes messy. If you’re trying to read the room, listen for language that pairs queer freedom with national superiority , that’s often the giveaway.</w:t>
      </w:r>
      <w:r/>
    </w:p>
    <w:p>
      <w:pPr>
        <w:pStyle w:val="Heading2"/>
      </w:pPr>
      <w:r>
        <w:t>Why some governments and parties weaponise queer rights</w:t>
      </w:r>
      <w:r/>
    </w:p>
    <w:p>
      <w:r/>
      <w:r>
        <w:t>There’s a political logic here. Celebrating LGBT+ rights can be an easy way for parties to signal modernity and liberal credentials, especially in contrast with perceived “others”. But Reuters-style reporting and analysts note a darker flip side: those same signals are sometimes used to justify conservative stances on migration, religion or race. For campaign-watchers, the practical take is to separate genuine policy gains , legal protections, funding for services , from performative gestures that shore up exclusionary politics.</w:t>
      </w:r>
      <w:r/>
    </w:p>
    <w:p>
      <w:pPr>
        <w:pStyle w:val="Heading2"/>
      </w:pPr>
      <w:r>
        <w:t>Culture and film: how stories expose the tensions</w:t>
      </w:r>
      <w:r/>
    </w:p>
    <w:p>
      <w:r/>
      <w:r>
        <w:t>Documentaries and films have been tracking these tensions closely, using personal stories to show how queer identity is folded into national narratives. Reviews highlight that some recent films interrogate the alliance of queer rights with nationalism, revealing how celebration can be selective and even instrumental. For everyday viewers, the takeaway is useful: look for nuance on screen , characters and real people who complicate the tidy “we’re progressive, they’re backward” storyline.</w:t>
      </w:r>
      <w:r/>
    </w:p>
    <w:p>
      <w:pPr>
        <w:pStyle w:val="Heading2"/>
      </w:pPr>
      <w:r>
        <w:t>Global patterns: not just a Western story</w:t>
      </w:r>
      <w:r/>
    </w:p>
    <w:p>
      <w:r/>
      <w:r>
        <w:t>It’s tempting to treat homonationalism as a Western export, but reporting shows the pattern travels and mutates. International conferences and transnational movements sometimes channel anti-LGBT+ sentiment through appeals to tradition, while other states point to LGBT+ acceptance as proof of their modern credentials. For campaigners working across borders, the practical advice is to build coalitions that resist simplistic binaries and centre universal human rights rather than identity as a political weapon.</w:t>
      </w:r>
      <w:r/>
    </w:p>
    <w:p>
      <w:pPr>
        <w:pStyle w:val="Heading2"/>
      </w:pPr>
      <w:r>
        <w:t>How activists and allies are responding</w:t>
      </w:r>
      <w:r/>
    </w:p>
    <w:p>
      <w:r/>
      <w:r>
        <w:t>Many grassroots groups are pushing back by insisting queer liberation must be intersectional and inclusive. Commentators note that reclaiming the narrative means highlighting solidarity with migrants, racialised communities and religious minorities. On a practical level, that looks like policy demands that protect everyone’s rights, not just symbolic gestures, and public messaging that refuses to trade one group’s dignity for political gain. The human reflection here is simple: progress that depends on someone else’s exclusion won’t feel like progress for long.</w:t>
      </w:r>
      <w:r/>
    </w:p>
    <w:p>
      <w:r/>
      <w:r>
        <w:t>It's a small shift in how we talk about rights, but one that changes who gets counted as welcome.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[6]</w:t>
        </w:r>
      </w:hyperlink>
      <w:r>
        <w:t xml:space="preserve">, </w:t>
      </w:r>
      <w:hyperlink r:id="rId11">
        <w:r>
          <w:rPr>
            <w:color w:val="0000EE"/>
            <w:u w:val="single"/>
          </w:rPr>
          <w:t>[4]</w:t>
        </w:r>
      </w:hyperlink>
      <w:r>
        <w:t xml:space="preserve">- Paragraph 3: </w:t>
      </w:r>
      <w:hyperlink r:id="rId13">
        <w:r>
          <w:rPr>
            <w:color w:val="0000EE"/>
            <w:u w:val="single"/>
          </w:rPr>
          <w:t>[3]</w:t>
        </w:r>
      </w:hyperlink>
      <w:r>
        <w:t xml:space="preserve">, </w:t>
      </w:r>
      <w:hyperlink r:id="rId14">
        <w:r>
          <w:rPr>
            <w:color w:val="0000EE"/>
            <w:u w:val="single"/>
          </w:rPr>
          <w:t>[7]</w:t>
        </w:r>
      </w:hyperlink>
      <w:r>
        <w:t xml:space="preserve">- Paragraph 4: </w:t>
      </w:r>
      <w:hyperlink r:id="rId12">
        <w:r>
          <w:rPr>
            <w:color w:val="0000EE"/>
            <w:u w:val="single"/>
          </w:rPr>
          <w:t>[6]</w:t>
        </w:r>
      </w:hyperlink>
      <w:r>
        <w:t xml:space="preserve">, </w:t>
      </w:r>
      <w:hyperlink r:id="rId10">
        <w:r>
          <w:rPr>
            <w:color w:val="0000EE"/>
            <w:u w:val="single"/>
          </w:rPr>
          <w:t>[2]</w:t>
        </w:r>
      </w:hyperlink>
      <w:r>
        <w:t xml:space="preserve">- Paragraph 5: </w:t>
      </w:r>
      <w:hyperlink r:id="rId15">
        <w:r>
          <w:rPr>
            <w:color w:val="0000EE"/>
            <w:u w:val="single"/>
          </w:rPr>
          <w:t>[5]</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https://nationalpost.com/opinion/the-necessary-rise-of-homonationalism</w:t>
        </w:r>
      </w:hyperlink>
      <w:r>
        <w:t xml:space="preserve"> - Please view link - unable to able to access data</w:t>
      </w:r>
      <w:r/>
    </w:p>
    <w:p>
      <w:pPr>
        <w:pStyle w:val="ListNumber"/>
        <w:spacing w:line="240" w:lineRule="auto"/>
        <w:ind w:left="720"/>
      </w:pPr>
      <w:r/>
      <w:hyperlink r:id="rId10">
        <w:r>
          <w:rPr>
            <w:color w:val="0000EE"/>
            <w:u w:val="single"/>
          </w:rPr>
          <w:t>https://www.theguardian.com/commentisfree/2009/nov/26/commonwealth-homophobes</w:t>
        </w:r>
      </w:hyperlink>
      <w:r>
        <w:t xml:space="preserve"> - In this 2009 article, Peter Tatchell critiques the Commonwealth for harbouring member states with anti-gay policies, highlighting the contradiction between the organisation's commitment to human rights and the actions of some of its members. He discusses the prevalence of homophobia within the Commonwealth and calls for accountability and reform to align the organisation's practices with its stated values.</w:t>
      </w:r>
      <w:r/>
    </w:p>
    <w:p>
      <w:pPr>
        <w:pStyle w:val="ListNumber"/>
        <w:spacing w:line="240" w:lineRule="auto"/>
        <w:ind w:left="720"/>
      </w:pPr>
      <w:r/>
      <w:hyperlink r:id="rId13">
        <w:r>
          <w:rPr>
            <w:color w:val="0000EE"/>
            <w:u w:val="single"/>
          </w:rPr>
          <w:t>https://www.theguardian.com/film/2024/apr/27/bad-faith-documentary-christian-nationalism</w:t>
        </w:r>
      </w:hyperlink>
      <w:r>
        <w:t xml:space="preserve"> - This 2024 article reviews the documentary 'Bad Faith', which examines the rise of Christian nationalism in the United States. The film explores the movement's historical roots, its influence on politics, and its impact on democracy, particularly focusing on events like the January 6 Capitol riot. It features insights from experts and activists who discuss the movement's strategies and implications for American society.</w:t>
      </w:r>
      <w:r/>
    </w:p>
    <w:p>
      <w:pPr>
        <w:pStyle w:val="ListNumber"/>
        <w:spacing w:line="240" w:lineRule="auto"/>
        <w:ind w:left="720"/>
      </w:pPr>
      <w:r/>
      <w:hyperlink r:id="rId11">
        <w:r>
          <w:rPr>
            <w:color w:val="0000EE"/>
            <w:u w:val="single"/>
          </w:rPr>
          <w:t>https://www.theguardian.com/us-news/2023/jun/06/state-of-emergency-lgbtq-human-rights</w:t>
        </w:r>
      </w:hyperlink>
      <w:r>
        <w:t xml:space="preserve"> - In this 2023 report, the Human Rights Campaign declares a state of emergency for LGBTQ+ Americans, citing an unprecedented surge in anti-LGBTQ+ legislation across various states. The article details specific legislative actions and their potential impact on the rights and well-being of the LGBTQ+ community, emphasising the urgent need for federal intervention and support.</w:t>
      </w:r>
      <w:r/>
    </w:p>
    <w:p>
      <w:pPr>
        <w:pStyle w:val="ListNumber"/>
        <w:spacing w:line="240" w:lineRule="auto"/>
        <w:ind w:left="720"/>
      </w:pPr>
      <w:r/>
      <w:hyperlink r:id="rId15">
        <w:r>
          <w:rPr>
            <w:color w:val="0000EE"/>
            <w:u w:val="single"/>
          </w:rPr>
          <w:t>https://www.theguardian.com/commentisfree/2010/oct/12/gay-liberation-front-social-revolution</w:t>
        </w:r>
      </w:hyperlink>
      <w:r>
        <w:t xml:space="preserve"> - Peter Tatchell reflects on the 40th anniversary of the Gay Liberation Front (GLF) in this 2010 article, discussing the group's role in challenging societal gender norms and advancing LGBTQ+ rights. He highlights the GLF's achievements and its influence on the modern LGBTQ+ movement, noting the progress made and the ongoing struggles for equality.</w:t>
      </w:r>
      <w:r/>
    </w:p>
    <w:p>
      <w:pPr>
        <w:pStyle w:val="ListNumber"/>
        <w:spacing w:line="240" w:lineRule="auto"/>
        <w:ind w:left="720"/>
      </w:pPr>
      <w:r/>
      <w:hyperlink r:id="rId12">
        <w:r>
          <w:rPr>
            <w:color w:val="0000EE"/>
            <w:u w:val="single"/>
          </w:rPr>
          <w:t>https://www.theguardian.com/global-development/2015/nov/19/world-congress-of-families-anti-lgbtq-sentiment</w:t>
        </w:r>
      </w:hyperlink>
      <w:r>
        <w:t xml:space="preserve"> - This 2015 article examines the World Congress of Families, a controversial Christian coalition accused of promoting anti-LGBTQ+ sentiment globally. The piece explores the group's activities, its influence on international policies, and the challenges it poses to LGBTQ+ rights, particularly in countries where such rights are already under threat.</w:t>
      </w:r>
      <w:r/>
    </w:p>
    <w:p>
      <w:pPr>
        <w:pStyle w:val="ListNumber"/>
        <w:spacing w:line="240" w:lineRule="auto"/>
        <w:ind w:left="720"/>
      </w:pPr>
      <w:r/>
      <w:hyperlink r:id="rId14">
        <w:r>
          <w:rPr>
            <w:color w:val="0000EE"/>
            <w:u w:val="single"/>
          </w:rPr>
          <w:t>https://www.theguardian.com/p/yzkk</w:t>
        </w:r>
      </w:hyperlink>
      <w:r>
        <w:t xml:space="preserve"> - A 2000 special report by Duncan Campbell discusses the rise of neo-Confederate groups in the United States, advocating for secession and promoting white supremacist ideologies. The article details the activities of these groups, their political influence, and the broader implications for American society, highlighting concerns about the resurgence of such movements.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nationalpost.com/opinion/the-necessary-rise-of-homonationalism" TargetMode="External"/><Relationship Id="rId10" Type="http://schemas.openxmlformats.org/officeDocument/2006/relationships/hyperlink" Target="https://www.theguardian.com/commentisfree/2009/nov/26/commonwealth-homophobes" TargetMode="External"/><Relationship Id="rId11" Type="http://schemas.openxmlformats.org/officeDocument/2006/relationships/hyperlink" Target="https://www.theguardian.com/us-news/2023/jun/06/state-of-emergency-lgbtq-human-rights" TargetMode="External"/><Relationship Id="rId12" Type="http://schemas.openxmlformats.org/officeDocument/2006/relationships/hyperlink" Target="https://www.theguardian.com/global-development/2015/nov/19/world-congress-of-families-anti-lgbtq-sentiment" TargetMode="External"/><Relationship Id="rId13" Type="http://schemas.openxmlformats.org/officeDocument/2006/relationships/hyperlink" Target="https://www.theguardian.com/film/2024/apr/27/bad-faith-documentary-christian-nationalism" TargetMode="External"/><Relationship Id="rId14" Type="http://schemas.openxmlformats.org/officeDocument/2006/relationships/hyperlink" Target="https://www.theguardian.com/p/yzkk" TargetMode="External"/><Relationship Id="rId15" Type="http://schemas.openxmlformats.org/officeDocument/2006/relationships/hyperlink" Target="https://www.theguardian.com/commentisfree/2010/oct/12/gay-liberation-front-social-revolu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