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Why Zamboanga City’s Push for an LGBTQIA+ Council Matters Locally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citizens are noticing a quiet but important shift in local politics: activists in Zamboanga City are urging the creation of an official LGBTQIA+ council to give queer communities a permanent voice in policymaking, a move that could shape local anti‑discrimination work and community programs.</w:t>
      </w:r>
      <w:r/>
    </w:p>
    <w:p>
      <w:r/>
      <w:r>
        <w:t>Essential Takeaways</w:t>
      </w:r>
      <w:r/>
      <w:r/>
    </w:p>
    <w:p>
      <w:pPr>
        <w:pStyle w:val="ListBullet"/>
        <w:spacing w:line="240" w:lineRule="auto"/>
        <w:ind w:left="720"/>
      </w:pPr>
      <w:r/>
      <w:r>
        <w:rPr>
          <w:b/>
        </w:rPr>
        <w:t>What’s happening:</w:t>
      </w:r>
      <w:r>
        <w:t xml:space="preserve"> A proposed ordinance to establish an LGBTQIA+ council in Zamboanga City has cleared first reading and is being championed by activist groups.</w:t>
      </w:r>
      <w:r/>
    </w:p>
    <w:p>
      <w:pPr>
        <w:pStyle w:val="ListBullet"/>
        <w:spacing w:line="240" w:lineRule="auto"/>
        <w:ind w:left="720"/>
      </w:pPr>
      <w:r/>
      <w:r>
        <w:rPr>
          <w:b/>
        </w:rPr>
        <w:t>Who’s pushing it:</w:t>
      </w:r>
      <w:r>
        <w:t xml:space="preserve"> Mujer LGBT Organization, Inc. is leading calls for institutionalised representation and collaboration with the city government.</w:t>
      </w:r>
      <w:r/>
    </w:p>
    <w:p>
      <w:pPr>
        <w:pStyle w:val="ListBullet"/>
        <w:spacing w:line="240" w:lineRule="auto"/>
        <w:ind w:left="720"/>
      </w:pPr>
      <w:r/>
      <w:r>
        <w:rPr>
          <w:b/>
        </w:rPr>
        <w:t>Why it matters:</w:t>
      </w:r>
      <w:r>
        <w:t xml:space="preserve"> A formal council would help ensure LGBTQIA+ perspectives feed directly into local policies, from safety initiatives to health and social services.</w:t>
      </w:r>
      <w:r/>
    </w:p>
    <w:p>
      <w:pPr>
        <w:pStyle w:val="ListBullet"/>
        <w:spacing w:line="240" w:lineRule="auto"/>
        <w:ind w:left="720"/>
      </w:pPr>
      <w:r/>
      <w:r>
        <w:rPr>
          <w:b/>
        </w:rPr>
        <w:t>How it feels:</w:t>
      </w:r>
      <w:r>
        <w:t xml:space="preserve"> Supporters describe the step as hopeful and overdue , practical change rather than symbolic recognition.</w:t>
      </w:r>
      <w:r/>
    </w:p>
    <w:p>
      <w:pPr>
        <w:pStyle w:val="ListBullet"/>
        <w:spacing w:line="240" w:lineRule="auto"/>
        <w:ind w:left="720"/>
      </w:pPr>
      <w:r/>
      <w:r>
        <w:rPr>
          <w:b/>
        </w:rPr>
        <w:t>Next step:</w:t>
      </w:r>
      <w:r>
        <w:t xml:space="preserve"> The measure needs further readings and backing from the Sangguniang Panlungsod to become law.</w:t>
      </w:r>
      <w:r/>
      <w:r/>
    </w:p>
    <w:p>
      <w:pPr>
        <w:pStyle w:val="Heading2"/>
      </w:pPr>
      <w:r>
        <w:t>A practical move, not just a gesture</w:t>
      </w:r>
      <w:r/>
    </w:p>
    <w:p>
      <w:r/>
      <w:r>
        <w:t>The most tangible thing about the proposal is that it would create an official mechanism for queer communities to sit at the table where decisions are made, and that brings a simple, everyday benefit: policies shaped by lived experience feel more relevant and useful. According to local advocates, including Mujer LGBT Organization, Inc., the council would help translate community needs into programs that actually work.</w:t>
      </w:r>
      <w:r/>
    </w:p>
    <w:p>
      <w:r/>
      <w:r>
        <w:t>This push didn’t come from nowhere. Local activists and government allies have been working on related protections and spaces for a while, from safe‑spaces ordinances to anti‑discrimination measures. Establishing a council is the next logical step in a broader local effort to make inclusion routine rather than exceptional.</w:t>
      </w:r>
      <w:r/>
    </w:p>
    <w:p>
      <w:r/>
      <w:r>
        <w:t>For readers wondering what this looks like in practice: think consultative meetings, policy reviews, and direct recommendations on things like access to health services, education campaigns, and lawful protections.</w:t>
      </w:r>
      <w:r/>
    </w:p>
    <w:p>
      <w:pPr>
        <w:pStyle w:val="Heading2"/>
      </w:pPr>
      <w:r>
        <w:t>How Zamboanga’s move links to other cities’ efforts</w:t>
      </w:r>
      <w:r/>
    </w:p>
    <w:p>
      <w:r/>
      <w:r>
        <w:t>Cities across the Philippines have been experimenting with different ways to recognise and support LGBTQIA+ communities , not always in the same language, but with similar aims. Other localities have introduced commitment ceremonies, safe‑space rules and anti‑discrimination ordinances, and those efforts show a trend away from ad hoc support and towards formal safeguards.</w:t>
      </w:r>
      <w:r/>
    </w:p>
    <w:p>
      <w:r/>
      <w:r>
        <w:t>That trend matters because formal bodies tend to outlast personalities. A council can provide continuity: even if officials change, structures remain. For anyone tracking local governance, it’s worth noting how institutional tweaks like this can turn ad hoc advocacy into sustained policy.</w:t>
      </w:r>
      <w:r/>
    </w:p>
    <w:p>
      <w:pPr>
        <w:pStyle w:val="Heading2"/>
      </w:pPr>
      <w:r>
        <w:t>What advocates say and what they’re asking for</w:t>
      </w:r>
      <w:r/>
    </w:p>
    <w:p>
      <w:r/>
      <w:r>
        <w:t>Mujer LGBT Organization, Inc. has framed the proposal as essential for “meaningful participation,” arguing that queer people should help design the services they use. They’re calling on the Sangguniang Panlungsod to shepherd the ordinance through the remaining readings and to keep dialogue open with civil society.</w:t>
      </w:r>
      <w:r/>
    </w:p>
    <w:p>
      <w:r/>
      <w:r>
        <w:t>It’s a tactic grounded in insistence rather than confrontation: work with the system to improve it. That approach often produces practical wins , training for city staff, clearer reporting channels for harms, and quicker service referrals for vulnerable people.</w:t>
      </w:r>
      <w:r/>
    </w:p>
    <w:p>
      <w:r/>
      <w:r>
        <w:t>If you’re curious about how to support such moves locally, simple things help: attend public consultations, follow local NGO updates, or write to councillors expressing why representation matters.</w:t>
      </w:r>
      <w:r/>
    </w:p>
    <w:p>
      <w:pPr>
        <w:pStyle w:val="Heading2"/>
      </w:pPr>
      <w:r>
        <w:t>What to watch next: the legislative road and the mayor’s desk</w:t>
      </w:r>
      <w:r/>
    </w:p>
    <w:p>
      <w:r/>
      <w:r>
        <w:t>The ordinance still has steps to clear. After initial readings, it needs full approval from the council and then the mayor’s signature or veto. Local reporting suggests momentum is building, but legislative processes can stall without sustained public interest.</w:t>
      </w:r>
      <w:r/>
    </w:p>
    <w:p>
      <w:r/>
      <w:r>
        <w:t>A council’s eventual remit , advisory, decision‑making, budgetary powers , will be crucial. The stronger its authority, the more it can effect real change. Keep an eye on whether the final measure includes funding, clear membership rules and accountability mechanisms.</w:t>
      </w:r>
      <w:r/>
    </w:p>
    <w:p>
      <w:r/>
      <w:r>
        <w:t>For communities, momentum matters: once a council exists, it becomes easier to argue for complementary measures like education programmes and enforcement tools.</w:t>
      </w:r>
      <w:r/>
    </w:p>
    <w:p>
      <w:pPr>
        <w:pStyle w:val="Heading2"/>
      </w:pPr>
      <w:r>
        <w:t>Why this matters beyond Zamboanga</w:t>
      </w:r>
      <w:r/>
    </w:p>
    <w:p>
      <w:r/>
      <w:r>
        <w:t>When a city formalises representation, the ripple effects aren’t just local pride; they’re practical. Policies designed with input from affected communities tend to be less stigmatising, more accessible and ultimately more effective. That means better health outcomes, safer public spaces and more reliable access to services for queer people.</w:t>
      </w:r>
      <w:r/>
    </w:p>
    <w:p>
      <w:r/>
      <w:r>
        <w:t>So this isn’t merely a symbolic victory in a headline; it’s a potential blueprint for other municipalities balancing cultural dynamics and human‑rights commitments. For residents, it’s about fairness and function , making sure everyone has a seat and that programmes actually meet needs.</w:t>
      </w:r>
      <w:r/>
    </w:p>
    <w:p>
      <w:r/>
      <w:r>
        <w:t>It's a small change that can make every local decision a bit fairer and more durable.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[3]</w:t>
        </w:r>
      </w:hyperlink>
      <w:r>
        <w:t xml:space="preserve">- Paragraph 2: </w:t>
      </w:r>
      <w:hyperlink r:id="rId12">
        <w:r>
          <w:rPr>
            <w:color w:val="0000EE"/>
            <w:u w:val="single"/>
          </w:rPr>
          <w:t>[2]</w:t>
        </w:r>
      </w:hyperlink>
      <w:r>
        <w:t xml:space="preserve">, </w:t>
      </w:r>
      <w:hyperlink r:id="rId10">
        <w:r>
          <w:rPr>
            <w:color w:val="0000EE"/>
            <w:u w:val="single"/>
          </w:rPr>
          <w:t>[6]</w:t>
        </w:r>
      </w:hyperlink>
      <w:r>
        <w:t xml:space="preserve">- Paragraph 3: </w:t>
      </w:r>
      <w:hyperlink r:id="rId13">
        <w:r>
          <w:rPr>
            <w:color w:val="0000EE"/>
            <w:u w:val="single"/>
          </w:rPr>
          <w:t>[4]</w:t>
        </w:r>
      </w:hyperlink>
      <w:r>
        <w:t xml:space="preserve">, </w:t>
      </w:r>
      <w:hyperlink r:id="rId14">
        <w:r>
          <w:rPr>
            <w:color w:val="0000EE"/>
            <w:u w:val="single"/>
          </w:rPr>
          <w:t>[5]</w:t>
        </w:r>
      </w:hyperlink>
      <w:r>
        <w:t xml:space="preserve">- Paragraph 4: </w:t>
      </w:r>
      <w:hyperlink r:id="rId12">
        <w:r>
          <w:rPr>
            <w:color w:val="0000EE"/>
            <w:u w:val="single"/>
          </w:rPr>
          <w:t>[2]</w:t>
        </w:r>
      </w:hyperlink>
      <w:r>
        <w:t xml:space="preserve">, </w:t>
      </w:r>
      <w:hyperlink r:id="rId15">
        <w:r>
          <w:rPr>
            <w:color w:val="0000EE"/>
            <w:u w:val="single"/>
          </w:rPr>
          <w:t>[7]</w:t>
        </w:r>
      </w:hyperlink>
      <w:r>
        <w:t xml:space="preserve">- Paragraph 5: </w:t>
      </w:r>
      <w:hyperlink r:id="rId10">
        <w:r>
          <w:rPr>
            <w:color w:val="0000EE"/>
            <w:u w:val="single"/>
          </w:rPr>
          <w:t>[6]</w:t>
        </w:r>
      </w:hyperlink>
      <w:r>
        <w:t xml:space="preserve">, </w:t>
      </w:r>
      <w:hyperlink r:id="rId15">
        <w:r>
          <w:rPr>
            <w:color w:val="0000EE"/>
            <w:u w:val="single"/>
          </w:rPr>
          <w:t>[7]</w:t>
        </w:r>
      </w:hyperlink>
      <w:r>
        <w:t xml:space="preserve">- Paragraph 6: </w:t>
      </w:r>
      <w:hyperlink r:id="rId11">
        <w:r>
          <w:rPr>
            <w:color w:val="0000EE"/>
            <w:u w:val="single"/>
          </w:rPr>
          <w:t>[3]</w:t>
        </w:r>
      </w:hyperlink>
      <w:r>
        <w:t xml:space="preserve">, </w:t>
      </w:r>
      <w:hyperlink r:id="rId12">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https://outragemag.com/establishment-of-lgbtqia-council-in-zamboanga-city-pushed/</w:t>
        </w:r>
      </w:hyperlink>
      <w:r>
        <w:t xml:space="preserve"> - Please view link - unable to able to access data</w:t>
      </w:r>
      <w:r/>
    </w:p>
    <w:p>
      <w:pPr>
        <w:pStyle w:val="ListNumber"/>
        <w:spacing w:line="240" w:lineRule="auto"/>
        <w:ind w:left="720"/>
      </w:pPr>
      <w:r/>
      <w:hyperlink r:id="rId12">
        <w:r>
          <w:rPr>
            <w:color w:val="0000EE"/>
            <w:u w:val="single"/>
          </w:rPr>
          <w:t>https://www.mujerlgbt.org/</w:t>
        </w:r>
      </w:hyperlink>
      <w:r>
        <w:t xml:space="preserve"> - Mujer LGBT+ Organization, Inc. is a non-profit group dedicated to empowering the LGBTQIA+ community in the Philippines. Established in 2015, the organisation focuses on human rights-based programmes, initiatives, assistance, and community mobilisation. Their mission includes advocating for visibility, healthcare, and tolerance, and they have been instrumental in organising events like Zamboanga's first Pride March in 2017. In 2020, they produced 'Budjang,' a documentary about a transgender woman navigating life as a government worker in a conservative Muslim village in Zamboanga City. The organisation has also been recognised with the APCOM COVID-19 Hero Award for their pandemic relief efforts.</w:t>
      </w:r>
      <w:r/>
    </w:p>
    <w:p>
      <w:pPr>
        <w:pStyle w:val="ListNumber"/>
        <w:spacing w:line="240" w:lineRule="auto"/>
        <w:ind w:left="720"/>
      </w:pPr>
      <w:r/>
      <w:hyperlink r:id="rId11">
        <w:r>
          <w:rPr>
            <w:color w:val="0000EE"/>
            <w:u w:val="single"/>
          </w:rPr>
          <w:t>https://pia.gov.ph/news/zambo-city-govt-pushes-safe-spaces-ordinance-to-curb-online-discrimination-vs-lgbtqia-community/</w:t>
        </w:r>
      </w:hyperlink>
      <w:r>
        <w:t xml:space="preserve"> - The City Government of Zamboanga, through its Gender and Development (GAD) Office, is intensifying efforts to address online discrimination and harmful digital behaviour targeting members of the LGBTQIA+ community. This initiative is part of the city's ongoing push for safer and more inclusive digital spaces. During a recent Kapihan sa Zamboanga, GAD Officer Wilfredo Aporongao emphasised that discriminatory remarks, including transphobic and homophobic comments, are now being addressed under the city's Safe Spaces Ordinance, which covers both in-person and online environments. The ordinance serves as a key policy tool in protecting individuals from harassment and abuse on digital platforms, where cases of online discrimination have become more visible alongside growing social media use.</w:t>
      </w:r>
      <w:r/>
    </w:p>
    <w:p>
      <w:pPr>
        <w:pStyle w:val="ListNumber"/>
        <w:spacing w:line="240" w:lineRule="auto"/>
        <w:ind w:left="720"/>
      </w:pPr>
      <w:r/>
      <w:hyperlink r:id="rId13">
        <w:r>
          <w:rPr>
            <w:color w:val="0000EE"/>
            <w:u w:val="single"/>
          </w:rPr>
          <w:t>https://www.gmanetwork.com/news/lifestyle/familyandrelationships/992009/naga-city-institutionalizes-annual-lgbt-commitment-ceremony/story/</w:t>
        </w:r>
      </w:hyperlink>
      <w:r>
        <w:t xml:space="preserve"> - The Naga City Council has passed an ordinance institutionalising a yearly commitment ceremony for LGBTQIA+ couples in the city. Named the Naga City LGBTQIA+ Annual Commitment Ceremony Ordinance, the measure serves as a symbolic affirmation of love and partnership between consenting adults. City Councilor Gilda Gayle Abonal-Gomez, who authored the ordinance, stated that it seeks to eliminate discrimination by creating a community-centred event aimed at fostering inclusive spaces where community members can celebrate their relationships with acceptance and respect. The ordinance also establishes clear implementation mechanisms, designates responsible offices, and provides adequate support for a programme celebrating diversity and honouring all forms of love.</w:t>
      </w:r>
      <w:r/>
    </w:p>
    <w:p>
      <w:pPr>
        <w:pStyle w:val="ListNumber"/>
        <w:spacing w:line="240" w:lineRule="auto"/>
        <w:ind w:left="720"/>
      </w:pPr>
      <w:r/>
      <w:hyperlink r:id="rId14">
        <w:r>
          <w:rPr>
            <w:color w:val="0000EE"/>
            <w:u w:val="single"/>
          </w:rPr>
          <w:t>https://www2.naga.gov.ph/sp_ordinances/ordinance-no-2026-071/</w:t>
        </w:r>
      </w:hyperlink>
      <w:r>
        <w:t xml:space="preserve"> - Ordinance No. 2026-071, enacted by the City of Naga, institutionalises the annual LGBTQIA+ commitment ceremony. The ordinance provides guidelines for its implementation and aims to create inclusive spaces where all members of the community may celebrate their relationships with dignity and respect. It establishes clear implementation mechanisms, designates responsible offices, and ensures adequate support for a programme that celebrates diversity and honours all forms of love. The ordinance is consistent with the 1987 Constitution's mandate to uphold human rights, equality, and social justice, recognising the dignity and worth of all persons regardless of their sexual orientation, gender identity and expression, and sex characteristics (SOGIESC).</w:t>
      </w:r>
      <w:r/>
    </w:p>
    <w:p>
      <w:pPr>
        <w:pStyle w:val="ListNumber"/>
        <w:spacing w:line="240" w:lineRule="auto"/>
        <w:ind w:left="720"/>
      </w:pPr>
      <w:r/>
      <w:hyperlink r:id="rId10">
        <w:r>
          <w:rPr>
            <w:color w:val="0000EE"/>
            <w:u w:val="single"/>
          </w:rPr>
          <w:t>https://pia.gov.ph/news/mindanao/zp/zambo-supports-lgbtqia-community-in-pushing-for-equality/</w:t>
        </w:r>
      </w:hyperlink>
      <w:r>
        <w:t xml:space="preserve"> - The City Government of Zamboanga, alongside various organisations, is making significant steps in advocating and advancing the rights of the LGBTQIA+ community. The Mujer LGBT Organization, established in 2015 with a focus on HIV-AIDS and human rights advocacy, expressed gratitude for the city's approval of the anti-discrimination ordinance. This landmark legislation is the result of collaborative efforts from numerous groups. Pride Month serves as a vital celebration to recognise and promote the rights of the LGBTQIA+ community. As part of these celebrations, the city hosted the Pride March and Pride Talks, a forum for the LGBTQIA+ Community on June 29, 2024. The event was organised by the Gender and Development Services of the City Mayor’s Office in coordination with the Sangguniang Kabataan Zamboanga City Federation, led by SK National President and Youth Commissioner Hon.</w:t>
      </w:r>
      <w:r/>
    </w:p>
    <w:p>
      <w:pPr>
        <w:pStyle w:val="ListNumber"/>
        <w:spacing w:line="240" w:lineRule="auto"/>
        <w:ind w:left="720"/>
      </w:pPr>
      <w:r/>
      <w:hyperlink r:id="rId15">
        <w:r>
          <w:rPr>
            <w:color w:val="0000EE"/>
            <w:u w:val="single"/>
          </w:rPr>
          <w:t>https://www.alturi.org/news_items/anti-discrimination-ordinance-passes-final-reading-in-zamboanga-city-awaits-mayors-signature/</w:t>
        </w:r>
      </w:hyperlink>
      <w:r>
        <w:t xml:space="preserve"> - Zamboanga City has passed its first anti-discrimination ordinance, which prohibits discrimination based on sexual orientation, gender identity and expression, race, colour, civil and social status, language, religion, national or social origin, culture and ethnicity, property, birth or age, disability and health status, creed and ideological beliefs, and physical appearance. The ordinance passed the third and final reading at the Sangguniang Panglunsod of the City of Zamboanga on October 6, 2020, and now awaits the mayor's signature. The ordinance was pushed by local LGBTQIA+ organisation, Mujer-LGBT Organization Inc.</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establishment-of-lgbtqia-council-in-zamboanga-city-pushed/" TargetMode="External"/><Relationship Id="rId10" Type="http://schemas.openxmlformats.org/officeDocument/2006/relationships/hyperlink" Target="https://pia.gov.ph/news/mindanao/zp/zambo-supports-lgbtqia-community-in-pushing-for-equality/" TargetMode="External"/><Relationship Id="rId11" Type="http://schemas.openxmlformats.org/officeDocument/2006/relationships/hyperlink" Target="https://pia.gov.ph/news/zambo-city-govt-pushes-safe-spaces-ordinance-to-curb-online-discrimination-vs-lgbtqia-community/" TargetMode="External"/><Relationship Id="rId12" Type="http://schemas.openxmlformats.org/officeDocument/2006/relationships/hyperlink" Target="https://www.mujerlgbt.org/" TargetMode="External"/><Relationship Id="rId13" Type="http://schemas.openxmlformats.org/officeDocument/2006/relationships/hyperlink" Target="https://www.gmanetwork.com/news/lifestyle/familyandrelationships/992009/naga-city-institutionalizes-annual-lgbt-commitment-ceremony/story/" TargetMode="External"/><Relationship Id="rId14" Type="http://schemas.openxmlformats.org/officeDocument/2006/relationships/hyperlink" Target="https://www2.naga.gov.ph/sp_ordinances/ordinance-no-2026-071/" TargetMode="External"/><Relationship Id="rId15" Type="http://schemas.openxmlformats.org/officeDocument/2006/relationships/hyperlink" Target="https://www.alturi.org/news_items/anti-discrimination-ordinance-passes-final-reading-in-zamboanga-city-awaits-mayors-signatu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