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pPr>
        <w:pStyle w:val="Heading1"/>
      </w:pPr>
      <w:r>
        <w:t>Best Coverage of the Divine Playhouse Eviction and Rally in Sydney</w:t>
      </w:r>
      <w:r/>
    </w:p>
    <w:p>
      <w:r/>
      <w:r/>
    </w:p>
    <w:p>
      <w:r>
        <w:drawing>
          <wp:inline xmlns:a="http://schemas.openxmlformats.org/drawingml/2006/main" xmlns:pic="http://schemas.openxmlformats.org/drawingml/2006/picture">
            <wp:extent cx="5080000" cy="2902857"/>
            <wp:docPr id="1" name="Picture 1"/>
            <wp:cNvGraphicFramePr>
              <a:graphicFrameLocks noChangeAspect="1"/>
            </wp:cNvGraphicFramePr>
            <a:graphic>
              <a:graphicData uri="http://schemas.openxmlformats.org/drawingml/2006/picture">
                <pic:pic>
                  <pic:nvPicPr>
                    <pic:cNvPr id="0" name="image.jpg"/>
                    <pic:cNvPicPr/>
                  </pic:nvPicPr>
                  <pic:blipFill>
                    <a:blip r:embed="rId8"/>
                    <a:stretch>
                      <a:fillRect/>
                    </a:stretch>
                  </pic:blipFill>
                  <pic:spPr>
                    <a:xfrm>
                      <a:off x="0" y="0"/>
                      <a:ext cx="5080000" cy="2902857"/>
                    </a:xfrm>
                    <a:prstGeom prst="rect"/>
                  </pic:spPr>
                </pic:pic>
              </a:graphicData>
            </a:graphic>
          </wp:inline>
        </w:drawing>
      </w:r>
    </w:p>
    <w:p>
      <w:r/>
      <w:r>
        <w:rPr>
          <w:b/>
        </w:rPr>
        <w:t>Shoppers might not be the first to notice, but Sydney’s queer arts scene is being pushed into the spotlight , and people are turning out to defend it. A snap rally has been called after Divine Playhouse was served a breach notice and forced to close, sparking wider debate about culture, censorship and who gets to use former church spaces.</w:t>
      </w:r>
      <w:r/>
    </w:p>
    <w:p>
      <w:r/>
      <w:r>
        <w:t>Essential Takeaways</w:t>
      </w:r>
      <w:r/>
      <w:r/>
    </w:p>
    <w:p>
      <w:pPr>
        <w:pStyle w:val="ListBullet"/>
        <w:spacing w:line="240" w:lineRule="auto"/>
        <w:ind w:left="720"/>
      </w:pPr>
      <w:r/>
      <w:r>
        <w:rPr>
          <w:b/>
        </w:rPr>
        <w:t>Breach notice served:</w:t>
      </w:r>
      <w:r>
        <w:t xml:space="preserve"> Divine Playhouse was ordered to stop trading and cancelled events, prompting immediate community action. </w:t>
      </w:r>
      <w:r/>
    </w:p>
    <w:p>
      <w:pPr>
        <w:pStyle w:val="ListBullet"/>
        <w:spacing w:line="240" w:lineRule="auto"/>
        <w:ind w:left="720"/>
      </w:pPr>
      <w:r/>
      <w:r>
        <w:rPr>
          <w:b/>
        </w:rPr>
        <w:t>Rally planned:</w:t>
      </w:r>
      <w:r>
        <w:t xml:space="preserve"> Pride in Protest called a snap gathering at 420 Kent Street on Friday evening; participants were urged to bring instruments and queer joy. </w:t>
      </w:r>
      <w:r/>
    </w:p>
    <w:p>
      <w:pPr>
        <w:pStyle w:val="ListBullet"/>
        <w:spacing w:line="240" w:lineRule="auto"/>
        <w:ind w:left="720"/>
      </w:pPr>
      <w:r/>
      <w:r>
        <w:rPr>
          <w:b/>
        </w:rPr>
        <w:t>Contested history:</w:t>
      </w:r>
      <w:r>
        <w:t xml:space="preserve"> The venue occupies a deconsecrated church building long used for theatre and community arts, which has inflamed conservative opposition. </w:t>
      </w:r>
      <w:r/>
    </w:p>
    <w:p>
      <w:pPr>
        <w:pStyle w:val="ListBullet"/>
        <w:spacing w:line="240" w:lineRule="auto"/>
        <w:ind w:left="720"/>
      </w:pPr>
      <w:r/>
      <w:r>
        <w:rPr>
          <w:b/>
        </w:rPr>
        <w:t>Broad support:</w:t>
      </w:r>
      <w:r>
        <w:t xml:space="preserve"> Artists, politicians and advocacy groups rallied publicly for the venue, warning of a worrying pattern of attacks on queer spaces. </w:t>
      </w:r>
      <w:r/>
    </w:p>
    <w:p>
      <w:pPr>
        <w:pStyle w:val="ListBullet"/>
        <w:spacing w:line="240" w:lineRule="auto"/>
        <w:ind w:left="720"/>
      </w:pPr>
      <w:r/>
      <w:r>
        <w:rPr>
          <w:b/>
        </w:rPr>
        <w:t>Practical strain:</w:t>
      </w:r>
      <w:r>
        <w:t xml:space="preserve"> Organisers say the closure threatens jobs, artists’ commissions and significant local economic activity tied to the venue.</w:t>
      </w:r>
      <w:r/>
      <w:r/>
    </w:p>
    <w:p>
      <w:pPr>
        <w:pStyle w:val="Heading2"/>
      </w:pPr>
      <w:r>
        <w:t>What happened and why it matters now</w:t>
      </w:r>
      <w:r/>
    </w:p>
    <w:p>
      <w:r/>
      <w:r>
        <w:t>The opening of Divine Playhouse , a new arts and nightlife venue operating from a deconsecrated church in Sydney’s CBD , was followed quickly by a landlord-issued breach notice and a forced temporary closure. The order comes after protests from small, conservative Christian groups who object to queer programming in a building once used for worship. The closure matters because the project promised to support hundreds of artists and pump money into the independent arts sector, and now those plans are on pause.</w:t>
      </w:r>
      <w:r/>
    </w:p>
    <w:p>
      <w:pPr>
        <w:pStyle w:val="Heading2"/>
      </w:pPr>
      <w:r>
        <w:t>A snap rally: music, colour and community response</w:t>
      </w:r>
      <w:r/>
    </w:p>
    <w:p>
      <w:r/>
      <w:r>
        <w:t>Pride in Protest organised an immediate response: a brief, lively rally outside the former church at 420 Kent Street, encouraging instruments, colourful outfits and crowds to show support. The action is less about confrontation and more about visibility , a wave of music and community energy to counteract what organisers describe as targeted moral outrage. For many attendees, it’s a way to say loudly that queer cultural spaces belong in the city.</w:t>
      </w:r>
      <w:r/>
    </w:p>
    <w:p>
      <w:pPr>
        <w:pStyle w:val="Heading2"/>
      </w:pPr>
      <w:r>
        <w:t>Politics, culture and the contested use of church spaces</w:t>
      </w:r>
      <w:r/>
    </w:p>
    <w:p>
      <w:r/>
      <w:r>
        <w:t>This dispute taps into broader questions about who gets to claim public-facing heritage sites. The building hasn’t served as a church since the 1930s and has been used for theatre and community purposes for decades. Still, the sight of queer events in that setting has been used by opponents to demand action, including calls to rescind government funding. Politicians from across Sydney’s progressive bench have pushed back, saying the venue adds cultural life and economic value to the CBD and should be defended.</w:t>
      </w:r>
      <w:r/>
    </w:p>
    <w:p>
      <w:pPr>
        <w:pStyle w:val="Heading2"/>
      </w:pPr>
      <w:r>
        <w:t>The human and economic cost for artists and small businesses</w:t>
      </w:r>
      <w:r/>
    </w:p>
    <w:p>
      <w:r/>
      <w:r>
        <w:t>Organisers say the closure isn’t just symbolic , it risks jobs, cancelled gigs and lost commissions for more than 1,500 creatives who were due to benefit. The venue’s founders point to substantial planned investment into independent arts and local suppliers, and now face legal and financial hurdles to reopen. For freelancers and small creative businesses that rely on consistent bookings, the pause can be immediate and painful.</w:t>
      </w:r>
      <w:r/>
    </w:p>
    <w:p>
      <w:pPr>
        <w:pStyle w:val="Heading2"/>
      </w:pPr>
      <w:r>
        <w:t>How the community and officials have reacted</w:t>
      </w:r>
      <w:r/>
    </w:p>
    <w:p>
      <w:r/>
      <w:r>
        <w:t>Support has come from local MPs, arts figures and union-style advocacy, with public statements emphasising the importance of queer-led cultural spaces. Meanwhile, conservative groups and petitions opposing the venue have gained traction, showing the dispute is polarising. Observers say this moment is part of a worrying pattern of coordinated pressure against LGBTQIA+ venues and events, and that defending cultural freedom will likely become a political as well as a community campaign.</w:t>
      </w:r>
      <w:r/>
    </w:p>
    <w:p>
      <w:r/>
      <w:r>
        <w:t>It's a small change that can make every performance and night out safer and more welcoming.</w:t>
      </w:r>
      <w:r/>
    </w:p>
    <w:p>
      <w:pPr>
        <w:pStyle w:val="Heading3"/>
      </w:pPr>
      <w:r>
        <w:t>Source Reference Map</w:t>
      </w:r>
      <w:r/>
    </w:p>
    <w:p>
      <w:r/>
      <w:r>
        <w:rPr>
          <w:b/>
        </w:rPr>
        <w:t>Story idea inspired by:</w:t>
      </w:r>
      <w:r>
        <w:t xml:space="preserve"> </w:t>
      </w:r>
      <w:hyperlink r:id="rId9">
        <w:r>
          <w:rPr>
            <w:color w:val="0000EE"/>
            <w:u w:val="single"/>
          </w:rPr>
          <w:t>[1]</w:t>
        </w:r>
      </w:hyperlink>
      <w:r/>
    </w:p>
    <w:p>
      <w:r/>
      <w:r>
        <w:rPr>
          <w:b/>
        </w:rPr>
        <w:t>Sources by paragraph:</w:t>
      </w:r>
      <w:r>
        <w:t xml:space="preserve">- Paragraph 1: </w:t>
      </w:r>
      <w:hyperlink r:id="rId10">
        <w:r>
          <w:rPr>
            <w:color w:val="0000EE"/>
            <w:u w:val="single"/>
          </w:rPr>
          <w:t>[2]</w:t>
        </w:r>
      </w:hyperlink>
      <w:r>
        <w:t xml:space="preserve">, </w:t>
      </w:r>
      <w:hyperlink r:id="rId11">
        <w:r>
          <w:rPr>
            <w:color w:val="0000EE"/>
            <w:u w:val="single"/>
          </w:rPr>
          <w:t>[3]</w:t>
        </w:r>
      </w:hyperlink>
      <w:r>
        <w:t xml:space="preserve">- Paragraph 2: </w:t>
      </w:r>
      <w:hyperlink r:id="rId9">
        <w:r>
          <w:rPr>
            <w:color w:val="0000EE"/>
            <w:u w:val="single"/>
          </w:rPr>
          <w:t>[7]</w:t>
        </w:r>
      </w:hyperlink>
      <w:r>
        <w:t xml:space="preserve">, </w:t>
      </w:r>
      <w:hyperlink r:id="rId12">
        <w:r>
          <w:rPr>
            <w:color w:val="0000EE"/>
            <w:u w:val="single"/>
          </w:rPr>
          <w:t>[4]</w:t>
        </w:r>
      </w:hyperlink>
      <w:r>
        <w:t xml:space="preserve">- Paragraph 3: </w:t>
      </w:r>
      <w:hyperlink r:id="rId13">
        <w:r>
          <w:rPr>
            <w:color w:val="0000EE"/>
            <w:u w:val="single"/>
          </w:rPr>
          <w:t>[6]</w:t>
        </w:r>
      </w:hyperlink>
      <w:r>
        <w:t xml:space="preserve">, </w:t>
      </w:r>
      <w:hyperlink r:id="rId10">
        <w:r>
          <w:rPr>
            <w:color w:val="0000EE"/>
            <w:u w:val="single"/>
          </w:rPr>
          <w:t>[2]</w:t>
        </w:r>
      </w:hyperlink>
      <w:r>
        <w:t xml:space="preserve">- Paragraph 4: </w:t>
      </w:r>
      <w:hyperlink r:id="rId9">
        <w:r>
          <w:rPr>
            <w:color w:val="0000EE"/>
            <w:u w:val="single"/>
          </w:rPr>
          <w:t>[1]</w:t>
        </w:r>
      </w:hyperlink>
      <w:r>
        <w:t xml:space="preserve">, </w:t>
      </w:r>
      <w:hyperlink r:id="rId14">
        <w:r>
          <w:rPr>
            <w:color w:val="0000EE"/>
            <w:u w:val="single"/>
          </w:rPr>
          <w:t>[5]</w:t>
        </w:r>
      </w:hyperlink>
      <w:r>
        <w:t xml:space="preserve">- Paragraph 5: </w:t>
      </w:r>
      <w:hyperlink r:id="rId11">
        <w:r>
          <w:rPr>
            <w:color w:val="0000EE"/>
            <w:u w:val="single"/>
          </w:rPr>
          <w:t>[3]</w:t>
        </w:r>
      </w:hyperlink>
      <w:r>
        <w:t xml:space="preserve">, </w:t>
      </w:r>
      <w:hyperlink r:id="rId12">
        <w:r>
          <w:rPr>
            <w:color w:val="0000EE"/>
            <w:u w:val="single"/>
          </w:rPr>
          <w:t>[4]</w:t>
        </w:r>
      </w:hyperlink>
      <w:r/>
    </w:p>
    <w:p>
      <w:pPr>
        <w:pStyle w:val="Heading2"/>
      </w:pPr>
      <w:r>
        <w:t>Bibliography</w:t>
      </w:r>
      <w:r/>
      <w:r/>
    </w:p>
    <w:p>
      <w:pPr>
        <w:pStyle w:val="ListNumber"/>
        <w:numPr>
          <w:ilvl w:val="0"/>
          <w:numId w:val="14"/>
        </w:numPr>
        <w:spacing w:line="240" w:lineRule="auto"/>
        <w:ind w:left="720"/>
      </w:pPr>
      <w:r/>
      <w:hyperlink r:id="rId9">
        <w:r>
          <w:rPr>
            <w:color w:val="0000EE"/>
            <w:u w:val="single"/>
          </w:rPr>
          <w:t>https://www.starobserver.com.au/news/divine-playhouse-rally/242735</w:t>
        </w:r>
      </w:hyperlink>
      <w:r>
        <w:t xml:space="preserve"> - Please view link - unable to able to access data</w:t>
      </w:r>
      <w:r/>
    </w:p>
    <w:p>
      <w:pPr>
        <w:pStyle w:val="ListNumber"/>
        <w:spacing w:line="240" w:lineRule="auto"/>
        <w:ind w:left="720"/>
      </w:pPr>
      <w:r/>
      <w:hyperlink r:id="rId10">
        <w:r>
          <w:rPr>
            <w:color w:val="0000EE"/>
            <w:u w:val="single"/>
          </w:rPr>
          <w:t>https://www.theguardian.com/australia-news/2026/jul/14/divine-playhouse-lgbtq-events-cancelled-sydney-church</w:t>
        </w:r>
      </w:hyperlink>
      <w:r>
        <w:t xml:space="preserve"> - The Guardian reports that Sydney's Divine Playhouse, a new LGBTQ+ venue in a deconsecrated church, was ordered by its landlord to cancel events after religious groups protested its opening night. The landlord claimed the venue 'insulted and mocked' Christian beliefs, leading to the cancellation of planned events and the venue's closure as organisers explore legal options. The article highlights the tension between the venue's mission and the protests from religious groups.</w:t>
      </w:r>
      <w:r/>
    </w:p>
    <w:p>
      <w:pPr>
        <w:pStyle w:val="ListNumber"/>
        <w:spacing w:line="240" w:lineRule="auto"/>
        <w:ind w:left="720"/>
      </w:pPr>
      <w:r/>
      <w:hyperlink r:id="rId11">
        <w:r>
          <w:rPr>
            <w:color w:val="0000EE"/>
            <w:u w:val="single"/>
          </w:rPr>
          <w:t>https://www.abc.net.au/news/2026-07-15/nsw-divine-playhouse-church-ordered-to-cease-offensive-trading/106915110</w:t>
        </w:r>
      </w:hyperlink>
      <w:r>
        <w:t xml:space="preserve"> - ABC News reports that Divine Playhouse, an LGBTQIA+ pop-up club in a former Sydney church, was ordered to 'cease carrying on offensive trade' by its landlords following protests from religious groups. The protests, which included a prayer vigil outside the venue, led to the cancellation of all events and the venue's closure. The organisers are now exploring legal options regarding the future of the venue.</w:t>
      </w:r>
      <w:r/>
    </w:p>
    <w:p>
      <w:pPr>
        <w:pStyle w:val="ListNumber"/>
        <w:spacing w:line="240" w:lineRule="auto"/>
        <w:ind w:left="720"/>
      </w:pPr>
      <w:r/>
      <w:hyperlink r:id="rId12">
        <w:r>
          <w:rPr>
            <w:color w:val="0000EE"/>
            <w:u w:val="single"/>
          </w:rPr>
          <w:t>https://www.pedestrian.tv/news/sydney-divine-playhouse-shut-down-protests/</w:t>
        </w:r>
      </w:hyperlink>
      <w:r>
        <w:t xml:space="preserve"> - Pedestrian TV reports that Sydney's Divine Playhouse, a queer arts venue in a former church, was forced to shut down after a week due to protests from Christian groups. The protests led to the cancellation of all events and the venue's closure. The organisers are now exploring legal options regarding the future of the venue.</w:t>
      </w:r>
      <w:r/>
    </w:p>
    <w:p>
      <w:pPr>
        <w:pStyle w:val="ListNumber"/>
        <w:spacing w:line="240" w:lineRule="auto"/>
        <w:ind w:left="720"/>
      </w:pPr>
      <w:r/>
      <w:hyperlink r:id="rId14">
        <w:r>
          <w:rPr>
            <w:color w:val="0000EE"/>
            <w:u w:val="single"/>
          </w:rPr>
          <w:t>https://ra.co/news/85569</w:t>
        </w:r>
      </w:hyperlink>
      <w:r>
        <w:t xml:space="preserve"> - Resident Advisor reports that Christian protesters targeted Sydney's new queer arts venue, Divine Playhouse, leading to its closure after a week. The protests, which included a prayer vigil outside the venue, resulted in the cancellation of all events and the venue's closure. The organisers are now exploring legal options regarding the future of the venue.</w:t>
      </w:r>
      <w:r/>
    </w:p>
    <w:p>
      <w:pPr>
        <w:pStyle w:val="ListNumber"/>
        <w:spacing w:line="240" w:lineRule="auto"/>
        <w:ind w:left="720"/>
      </w:pPr>
      <w:r/>
      <w:hyperlink r:id="rId13">
        <w:r>
          <w:rPr>
            <w:color w:val="0000EE"/>
            <w:u w:val="single"/>
          </w:rPr>
          <w:t>https://catholicweekly.com.au/petition-gains-thousands-of-signatures-over-government-backed-divine-playhouse/</w:t>
        </w:r>
      </w:hyperlink>
      <w:r>
        <w:t xml:space="preserve"> - The Catholic Weekly reports that a petition has gained thousands of signatures calling on the NSW Government to issue a public apology to the Christian community after it was revealed that Divine Playhouse, a nightclub planning live exorcisms and a 'Sunday Mess' in a former Catholic chapel, received state support. The petition also calls on the government to withdraw its support for the venue, which has attracted controversy for its use of Christian imagery in its branding and entertainment.</w:t>
      </w:r>
      <w:r/>
    </w:p>
    <w:p>
      <w:pPr>
        <w:pStyle w:val="ListNumber"/>
        <w:spacing w:line="240" w:lineRule="auto"/>
        <w:ind w:left="720"/>
      </w:pPr>
      <w:r/>
      <w:hyperlink r:id="rId9">
        <w:r>
          <w:rPr>
            <w:color w:val="0000EE"/>
            <w:u w:val="single"/>
          </w:rPr>
          <w:t>https://www.starobserver.com.au/news/divine-playhouse-rally/242735</w:t>
        </w:r>
      </w:hyperlink>
      <w:r>
        <w:t xml:space="preserve"> - Star Observer reports that a snap rally has been organised by Pride in Protest in response to the eviction of Sydney's Divine Playhouse. The rally aims to support the venue, which has been ordered to cease operations following protests from religious groups. The organisers are calling for community support to counteract the eviction and promote inclusivity.</w:t>
      </w:r>
      <w:r/>
    </w:p>
    <w:sectPr w:rsidR="008F16EB" w:rsidRPr="008F16EB"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Franklin Gothic Book">
    <w:panose1 w:val="020B05030201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notTrueType/>
    <w:pitch w:val="fixed"/>
    <w:sig w:usb0="E00002FF" w:usb1="6AC7FDFB" w:usb2="08000012" w:usb3="00000000" w:csb0="0002009F" w:csb1="00000000"/>
  </w:font>
  <w:font w:name="Courier">
    <w:altName w:val="Courier New"/>
    <w:panose1 w:val="020703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79911088"/>
    <w:multiLevelType w:val="hybridMultilevel"/>
    <w:tmpl w:val="B89254AA"/>
    <w:lvl w:ilvl="0" w:tplc="5ED0EE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83565639">
    <w:abstractNumId w:val="8"/>
  </w:num>
  <w:num w:numId="2" w16cid:durableId="1689715716">
    <w:abstractNumId w:val="6"/>
  </w:num>
  <w:num w:numId="3" w16cid:durableId="1422219261">
    <w:abstractNumId w:val="5"/>
  </w:num>
  <w:num w:numId="4" w16cid:durableId="1639651746">
    <w:abstractNumId w:val="4"/>
  </w:num>
  <w:num w:numId="5" w16cid:durableId="268244051">
    <w:abstractNumId w:val="7"/>
  </w:num>
  <w:num w:numId="6" w16cid:durableId="527262389">
    <w:abstractNumId w:val="3"/>
  </w:num>
  <w:num w:numId="7" w16cid:durableId="2116093898">
    <w:abstractNumId w:val="2"/>
  </w:num>
  <w:num w:numId="8" w16cid:durableId="1487162739">
    <w:abstractNumId w:val="1"/>
  </w:num>
  <w:num w:numId="9" w16cid:durableId="1639265226">
    <w:abstractNumId w:val="0"/>
  </w:num>
  <w:num w:numId="10" w16cid:durableId="495808350">
    <w:abstractNumId w:val="7"/>
    <w:lvlOverride w:ilvl="0">
      <w:startOverride w:val="1"/>
    </w:lvlOverride>
  </w:num>
  <w:num w:numId="11" w16cid:durableId="1894850684">
    <w:abstractNumId w:val="9"/>
  </w:num>
  <w:num w:numId="12" w16cid:durableId="1467312115">
    <w:abstractNumId w:val="9"/>
  </w:num>
  <w:num w:numId="13" w16cid:durableId="1615862868">
    <w:abstractNumId w:val="9"/>
  </w:num>
  <w:num w:numId="14">
    <w:abstractNumId w:val="7"/>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attachedTemplate r:id="rId1"/>
  <w:defaultTabStop w:val="720"/>
  <w:defaultTableStyle w:val="Noah"/>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3E31"/>
    <w:rsid w:val="00034616"/>
    <w:rsid w:val="0006063C"/>
    <w:rsid w:val="0015074B"/>
    <w:rsid w:val="0029639D"/>
    <w:rsid w:val="00326F90"/>
    <w:rsid w:val="00327C26"/>
    <w:rsid w:val="006072D1"/>
    <w:rsid w:val="00641096"/>
    <w:rsid w:val="00733E31"/>
    <w:rsid w:val="00782A44"/>
    <w:rsid w:val="007D0B83"/>
    <w:rsid w:val="008F16EB"/>
    <w:rsid w:val="00920A5B"/>
    <w:rsid w:val="00AA1D8D"/>
    <w:rsid w:val="00B47730"/>
    <w:rsid w:val="00CB0664"/>
    <w:rsid w:val="00F369D9"/>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2B5D908"/>
  <w14:defaultImageDpi w14:val="300"/>
  <w15:docId w15:val="{AFAB448B-A191-DB46-889A-C1A710B4FE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Georgia" w:hAnsi="Georgia" w:cs="Georgia"/>
        <w:sz w:val="22"/>
        <w:szCs w:val="22"/>
        <w:lang w:val="en-US" w:eastAsia="en-US" w:bidi="ar-SA"/>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1096"/>
  </w:style>
  <w:style w:type="paragraph" w:styleId="Heading1">
    <w:name w:val="heading 1"/>
    <w:basedOn w:val="Normal"/>
    <w:next w:val="Normal"/>
    <w:link w:val="Heading1Char"/>
    <w:uiPriority w:val="9"/>
    <w:qFormat/>
    <w:rsid w:val="00641096"/>
    <w:pPr>
      <w:keepNext/>
      <w:keepLines/>
      <w:spacing w:before="240" w:after="160" w:line="240" w:lineRule="auto"/>
      <w:outlineLvl w:val="0"/>
    </w:pPr>
    <w:rPr>
      <w:rFonts w:ascii="Georgia" w:hAnsi="Georgia" w:cs="Georgia"/>
      <w:b/>
      <w:bCs/>
      <w:color w:val="1C1917"/>
      <w:sz w:val="52"/>
      <w:szCs w:val="52"/>
      <w:w w:val="90"/>
    </w:rPr>
  </w:style>
  <w:style w:type="paragraph" w:styleId="Heading2">
    <w:name w:val="heading 2"/>
    <w:basedOn w:val="Normal"/>
    <w:next w:val="Normal"/>
    <w:link w:val="Heading2Char"/>
    <w:uiPriority w:val="9"/>
    <w:unhideWhenUsed/>
    <w:qFormat/>
    <w:rsid w:val="00641096"/>
    <w:pPr>
      <w:keepNext/>
      <w:keepLines/>
      <w:spacing w:before="400" w:after="120"/>
      <w:outlineLvl w:val="1"/>
    </w:pPr>
    <w:rPr>
      <w:rFonts w:ascii="Georgia" w:hAnsi="Georgia" w:cs="Georgia"/>
      <w:b/>
      <w:bCs/>
      <w:color w:val="1C1917"/>
      <w:sz w:val="36"/>
      <w:szCs w:val="36"/>
      <w:w w:val="90"/>
    </w:rPr>
  </w:style>
  <w:style w:type="paragraph" w:styleId="Heading3">
    <w:name w:val="heading 3"/>
    <w:basedOn w:val="Normal"/>
    <w:next w:val="Normal"/>
    <w:link w:val="Heading3Char"/>
    <w:uiPriority w:val="9"/>
    <w:unhideWhenUsed/>
    <w:qFormat/>
    <w:rsid w:val="00641096"/>
    <w:pPr>
      <w:keepNext/>
      <w:keepLines/>
      <w:spacing w:before="320" w:after="80"/>
      <w:outlineLvl w:val="2"/>
    </w:pPr>
    <w:rPr>
      <w:rFonts w:ascii="Georgia" w:hAnsi="Georgia" w:cs="Georgia"/>
      <w:b/>
      <w:bCs/>
      <w:color w:val="374151"/>
      <w:sz w:val="28"/>
      <w:szCs w:val="28"/>
      <w:w w:val="90"/>
    </w:rPr>
  </w:style>
  <w:style w:type="paragraph" w:styleId="Heading4">
    <w:name w:val="heading 4"/>
    <w:basedOn w:val="Normal"/>
    <w:next w:val="Normal"/>
    <w:link w:val="Heading4Char"/>
    <w:uiPriority w:val="9"/>
    <w:semiHidden/>
    <w:unhideWhenUsed/>
    <w:qFormat/>
    <w:rsid w:val="00641096"/>
    <w:pPr>
      <w:keepNext/>
      <w:keepLines/>
      <w:spacing w:before="200" w:after="0"/>
      <w:outlineLvl w:val="3"/>
    </w:pPr>
    <w:rPr>
      <w:rFonts w:asciiTheme="majorHAnsi" w:eastAsiaTheme="majorEastAsia" w:hAnsiTheme="majorHAnsi" w:cstheme="majorBidi"/>
      <w:b/>
      <w:bCs/>
      <w:i/>
      <w:iCs/>
      <w:color w:val="156082" w:themeColor="accent1"/>
    </w:rPr>
  </w:style>
  <w:style w:type="paragraph" w:styleId="Heading5">
    <w:name w:val="heading 5"/>
    <w:basedOn w:val="Normal"/>
    <w:next w:val="Normal"/>
    <w:link w:val="Heading5Char"/>
    <w:uiPriority w:val="9"/>
    <w:semiHidden/>
    <w:unhideWhenUsed/>
    <w:qFormat/>
    <w:rsid w:val="00641096"/>
    <w:pPr>
      <w:keepNext/>
      <w:keepLines/>
      <w:spacing w:before="200" w:after="0"/>
      <w:outlineLvl w:val="4"/>
    </w:pPr>
    <w:rPr>
      <w:rFonts w:asciiTheme="majorHAnsi" w:eastAsiaTheme="majorEastAsia" w:hAnsiTheme="majorHAnsi" w:cstheme="majorBidi"/>
      <w:color w:val="0A2F40" w:themeColor="accent1" w:themeShade="7F"/>
    </w:rPr>
  </w:style>
  <w:style w:type="paragraph" w:styleId="Heading6">
    <w:name w:val="heading 6"/>
    <w:basedOn w:val="Normal"/>
    <w:next w:val="Normal"/>
    <w:link w:val="Heading6Char"/>
    <w:uiPriority w:val="9"/>
    <w:semiHidden/>
    <w:unhideWhenUsed/>
    <w:qFormat/>
    <w:rsid w:val="00641096"/>
    <w:pPr>
      <w:keepNext/>
      <w:keepLines/>
      <w:spacing w:before="200" w:after="0"/>
      <w:outlineLvl w:val="5"/>
    </w:pPr>
    <w:rPr>
      <w:rFonts w:asciiTheme="majorHAnsi" w:eastAsiaTheme="majorEastAsia" w:hAnsiTheme="majorHAnsi" w:cstheme="majorBidi"/>
      <w:i/>
      <w:iCs/>
      <w:color w:val="0A2F40" w:themeColor="accent1" w:themeShade="7F"/>
    </w:rPr>
  </w:style>
  <w:style w:type="paragraph" w:styleId="Heading7">
    <w:name w:val="heading 7"/>
    <w:basedOn w:val="Normal"/>
    <w:next w:val="Normal"/>
    <w:link w:val="Heading7Char"/>
    <w:uiPriority w:val="9"/>
    <w:semiHidden/>
    <w:unhideWhenUsed/>
    <w:qFormat/>
    <w:rsid w:val="00641096"/>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641096"/>
    <w:pPr>
      <w:keepNext/>
      <w:keepLines/>
      <w:spacing w:before="200" w:after="0"/>
      <w:outlineLvl w:val="7"/>
    </w:pPr>
    <w:rPr>
      <w:rFonts w:asciiTheme="majorHAnsi" w:eastAsiaTheme="majorEastAsia" w:hAnsiTheme="majorHAnsi" w:cstheme="majorBidi"/>
      <w:color w:val="156082" w:themeColor="accent1"/>
      <w:sz w:val="20"/>
      <w:szCs w:val="20"/>
    </w:rPr>
  </w:style>
  <w:style w:type="paragraph" w:styleId="Heading9">
    <w:name w:val="heading 9"/>
    <w:basedOn w:val="Normal"/>
    <w:next w:val="Normal"/>
    <w:link w:val="Heading9Char"/>
    <w:uiPriority w:val="9"/>
    <w:semiHidden/>
    <w:unhideWhenUsed/>
    <w:qFormat/>
    <w:rsid w:val="00641096"/>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link w:val="NoSpacingChar"/>
    <w:uiPriority w:val="1"/>
    <w:qFormat/>
    <w:rsid w:val="00641096"/>
    <w:pPr>
      <w:spacing w:after="0" w:line="240" w:lineRule="auto"/>
    </w:pPr>
  </w:style>
  <w:style w:type="character" w:customStyle="1" w:styleId="Heading1Char">
    <w:name w:val="Heading 1 Char"/>
    <w:basedOn w:val="DefaultParagraphFont"/>
    <w:link w:val="Heading1"/>
    <w:uiPriority w:val="9"/>
    <w:rsid w:val="00641096"/>
    <w:rPr>
      <w:rFonts w:asciiTheme="majorHAnsi" w:eastAsiaTheme="majorEastAsia" w:hAnsiTheme="majorHAnsi" w:cstheme="majorBidi"/>
      <w:b/>
      <w:bCs/>
      <w:color w:val="0F4761" w:themeColor="accent1" w:themeShade="BF"/>
      <w:sz w:val="28"/>
      <w:szCs w:val="28"/>
    </w:rPr>
  </w:style>
  <w:style w:type="character" w:customStyle="1" w:styleId="Heading2Char">
    <w:name w:val="Heading 2 Char"/>
    <w:basedOn w:val="DefaultParagraphFont"/>
    <w:link w:val="Heading2"/>
    <w:uiPriority w:val="9"/>
    <w:rsid w:val="00641096"/>
    <w:rPr>
      <w:rFonts w:asciiTheme="majorHAnsi" w:eastAsiaTheme="majorEastAsia" w:hAnsiTheme="majorHAnsi" w:cstheme="majorBidi"/>
      <w:b/>
      <w:bCs/>
      <w:color w:val="156082" w:themeColor="accent1"/>
      <w:sz w:val="26"/>
      <w:szCs w:val="26"/>
    </w:rPr>
  </w:style>
  <w:style w:type="character" w:customStyle="1" w:styleId="Heading3Char">
    <w:name w:val="Heading 3 Char"/>
    <w:basedOn w:val="DefaultParagraphFont"/>
    <w:link w:val="Heading3"/>
    <w:uiPriority w:val="9"/>
    <w:rsid w:val="00641096"/>
    <w:rPr>
      <w:rFonts w:asciiTheme="majorHAnsi" w:eastAsiaTheme="majorEastAsia" w:hAnsiTheme="majorHAnsi" w:cstheme="majorBidi"/>
      <w:b/>
      <w:bCs/>
      <w:color w:val="156082" w:themeColor="accent1"/>
    </w:rPr>
  </w:style>
  <w:style w:type="paragraph" w:styleId="Title">
    <w:name w:val="Title"/>
    <w:basedOn w:val="Normal"/>
    <w:next w:val="Normal"/>
    <w:link w:val="TitleChar"/>
    <w:uiPriority w:val="10"/>
    <w:qFormat/>
    <w:rsid w:val="00641096"/>
    <w:pPr>
      <w:pBdr>
        <w:bottom w:val="single" w:sz="8" w:space="4" w:color="156082" w:themeColor="accent1"/>
      </w:pBdr>
      <w:spacing w:after="300" w:line="240" w:lineRule="auto"/>
      <w:contextualSpacing/>
    </w:pPr>
    <w:rPr>
      <w:rFonts w:asciiTheme="majorHAnsi" w:eastAsiaTheme="majorEastAsia" w:hAnsiTheme="majorHAnsi" w:cstheme="majorBidi"/>
      <w:color w:val="0A1D30" w:themeColor="text2" w:themeShade="BF"/>
      <w:spacing w:val="5"/>
      <w:kern w:val="28"/>
      <w:sz w:val="52"/>
      <w:szCs w:val="52"/>
    </w:rPr>
  </w:style>
  <w:style w:type="character" w:customStyle="1" w:styleId="TitleChar">
    <w:name w:val="Title Char"/>
    <w:basedOn w:val="DefaultParagraphFont"/>
    <w:link w:val="Title"/>
    <w:uiPriority w:val="10"/>
    <w:rsid w:val="00641096"/>
    <w:rPr>
      <w:rFonts w:asciiTheme="majorHAnsi" w:eastAsiaTheme="majorEastAsia" w:hAnsiTheme="majorHAnsi" w:cstheme="majorBidi"/>
      <w:color w:val="0A1D30" w:themeColor="text2" w:themeShade="BF"/>
      <w:spacing w:val="5"/>
      <w:kern w:val="28"/>
      <w:sz w:val="52"/>
      <w:szCs w:val="52"/>
    </w:rPr>
  </w:style>
  <w:style w:type="paragraph" w:styleId="Subtitle">
    <w:name w:val="Subtitle"/>
    <w:basedOn w:val="Normal"/>
    <w:next w:val="Normal"/>
    <w:link w:val="SubtitleChar"/>
    <w:uiPriority w:val="11"/>
    <w:qFormat/>
    <w:rsid w:val="00641096"/>
    <w:pPr>
      <w:numPr>
        <w:ilvl w:val="1"/>
      </w:numPr>
    </w:pPr>
    <w:rPr>
      <w:rFonts w:asciiTheme="majorHAnsi" w:eastAsiaTheme="majorEastAsia" w:hAnsiTheme="majorHAnsi" w:cstheme="majorBidi"/>
      <w:i/>
      <w:iCs/>
      <w:color w:val="156082" w:themeColor="accent1"/>
      <w:spacing w:val="15"/>
      <w:sz w:val="24"/>
      <w:szCs w:val="24"/>
    </w:rPr>
  </w:style>
  <w:style w:type="character" w:customStyle="1" w:styleId="SubtitleChar">
    <w:name w:val="Subtitle Char"/>
    <w:basedOn w:val="DefaultParagraphFont"/>
    <w:link w:val="Subtitle"/>
    <w:uiPriority w:val="11"/>
    <w:rsid w:val="00641096"/>
    <w:rPr>
      <w:rFonts w:asciiTheme="majorHAnsi" w:eastAsiaTheme="majorEastAsia" w:hAnsiTheme="majorHAnsi" w:cstheme="majorBidi"/>
      <w:i/>
      <w:iCs/>
      <w:color w:val="156082" w:themeColor="accent1"/>
      <w:spacing w:val="15"/>
      <w:sz w:val="24"/>
      <w:szCs w:val="24"/>
    </w:rPr>
  </w:style>
  <w:style w:type="paragraph" w:styleId="ListParagraph">
    <w:name w:val="List Paragraph"/>
    <w:basedOn w:val="Normal"/>
    <w:uiPriority w:val="34"/>
    <w:qFormat/>
    <w:rsid w:val="00641096"/>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641096"/>
    <w:rPr>
      <w:i/>
      <w:iCs/>
      <w:color w:val="000000" w:themeColor="text1"/>
    </w:rPr>
  </w:style>
  <w:style w:type="character" w:customStyle="1" w:styleId="QuoteChar">
    <w:name w:val="Quote Char"/>
    <w:basedOn w:val="DefaultParagraphFont"/>
    <w:link w:val="Quote"/>
    <w:uiPriority w:val="29"/>
    <w:rsid w:val="00641096"/>
    <w:rPr>
      <w:i/>
      <w:iCs/>
      <w:color w:val="000000" w:themeColor="text1"/>
    </w:rPr>
  </w:style>
  <w:style w:type="character" w:customStyle="1" w:styleId="Heading4Char">
    <w:name w:val="Heading 4 Char"/>
    <w:basedOn w:val="DefaultParagraphFont"/>
    <w:link w:val="Heading4"/>
    <w:uiPriority w:val="9"/>
    <w:semiHidden/>
    <w:rsid w:val="00641096"/>
    <w:rPr>
      <w:rFonts w:asciiTheme="majorHAnsi" w:eastAsiaTheme="majorEastAsia" w:hAnsiTheme="majorHAnsi" w:cstheme="majorBidi"/>
      <w:b/>
      <w:bCs/>
      <w:i/>
      <w:iCs/>
      <w:color w:val="156082" w:themeColor="accent1"/>
    </w:rPr>
  </w:style>
  <w:style w:type="character" w:customStyle="1" w:styleId="Heading5Char">
    <w:name w:val="Heading 5 Char"/>
    <w:basedOn w:val="DefaultParagraphFont"/>
    <w:link w:val="Heading5"/>
    <w:uiPriority w:val="9"/>
    <w:semiHidden/>
    <w:rsid w:val="00641096"/>
    <w:rPr>
      <w:rFonts w:asciiTheme="majorHAnsi" w:eastAsiaTheme="majorEastAsia" w:hAnsiTheme="majorHAnsi" w:cstheme="majorBidi"/>
      <w:color w:val="0A2F40" w:themeColor="accent1" w:themeShade="7F"/>
    </w:rPr>
  </w:style>
  <w:style w:type="character" w:customStyle="1" w:styleId="Heading6Char">
    <w:name w:val="Heading 6 Char"/>
    <w:basedOn w:val="DefaultParagraphFont"/>
    <w:link w:val="Heading6"/>
    <w:uiPriority w:val="9"/>
    <w:semiHidden/>
    <w:rsid w:val="00641096"/>
    <w:rPr>
      <w:rFonts w:asciiTheme="majorHAnsi" w:eastAsiaTheme="majorEastAsia" w:hAnsiTheme="majorHAnsi" w:cstheme="majorBidi"/>
      <w:i/>
      <w:iCs/>
      <w:color w:val="0A2F40" w:themeColor="accent1" w:themeShade="7F"/>
    </w:rPr>
  </w:style>
  <w:style w:type="character" w:customStyle="1" w:styleId="Heading7Char">
    <w:name w:val="Heading 7 Char"/>
    <w:basedOn w:val="DefaultParagraphFont"/>
    <w:link w:val="Heading7"/>
    <w:uiPriority w:val="9"/>
    <w:semiHidden/>
    <w:rsid w:val="00641096"/>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641096"/>
    <w:rPr>
      <w:rFonts w:asciiTheme="majorHAnsi" w:eastAsiaTheme="majorEastAsia" w:hAnsiTheme="majorHAnsi" w:cstheme="majorBidi"/>
      <w:color w:val="156082" w:themeColor="accent1"/>
      <w:sz w:val="20"/>
      <w:szCs w:val="20"/>
    </w:rPr>
  </w:style>
  <w:style w:type="character" w:customStyle="1" w:styleId="Heading9Char">
    <w:name w:val="Heading 9 Char"/>
    <w:basedOn w:val="DefaultParagraphFont"/>
    <w:link w:val="Heading9"/>
    <w:uiPriority w:val="9"/>
    <w:semiHidden/>
    <w:rsid w:val="00641096"/>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641096"/>
    <w:pPr>
      <w:spacing w:line="240" w:lineRule="auto"/>
    </w:pPr>
    <w:rPr>
      <w:b/>
      <w:bCs/>
      <w:color w:val="156082" w:themeColor="accent1"/>
      <w:sz w:val="18"/>
      <w:szCs w:val="18"/>
    </w:rPr>
  </w:style>
  <w:style w:type="character" w:styleId="Strong">
    <w:name w:val="Strong"/>
    <w:basedOn w:val="DefaultParagraphFont"/>
    <w:uiPriority w:val="22"/>
    <w:qFormat/>
    <w:rsid w:val="00641096"/>
    <w:rPr>
      <w:b/>
      <w:bCs/>
    </w:rPr>
  </w:style>
  <w:style w:type="character" w:styleId="Emphasis">
    <w:name w:val="Emphasis"/>
    <w:basedOn w:val="DefaultParagraphFont"/>
    <w:uiPriority w:val="20"/>
    <w:qFormat/>
    <w:rsid w:val="00641096"/>
    <w:rPr>
      <w:i/>
      <w:iCs/>
    </w:rPr>
  </w:style>
  <w:style w:type="paragraph" w:styleId="IntenseQuote">
    <w:name w:val="Intense Quote"/>
    <w:basedOn w:val="Normal"/>
    <w:next w:val="Normal"/>
    <w:link w:val="IntenseQuoteChar"/>
    <w:uiPriority w:val="30"/>
    <w:qFormat/>
    <w:rsid w:val="00641096"/>
    <w:pPr>
      <w:pBdr>
        <w:bottom w:val="single" w:sz="4" w:space="4" w:color="156082" w:themeColor="accent1"/>
      </w:pBdr>
      <w:spacing w:before="200" w:after="280"/>
      <w:ind w:left="936" w:right="936"/>
    </w:pPr>
    <w:rPr>
      <w:b/>
      <w:bCs/>
      <w:i/>
      <w:iCs/>
      <w:color w:val="156082" w:themeColor="accent1"/>
    </w:rPr>
  </w:style>
  <w:style w:type="character" w:customStyle="1" w:styleId="IntenseQuoteChar">
    <w:name w:val="Intense Quote Char"/>
    <w:basedOn w:val="DefaultParagraphFont"/>
    <w:link w:val="IntenseQuote"/>
    <w:uiPriority w:val="30"/>
    <w:rsid w:val="00641096"/>
    <w:rPr>
      <w:b/>
      <w:bCs/>
      <w:i/>
      <w:iCs/>
      <w:color w:val="156082" w:themeColor="accent1"/>
    </w:rPr>
  </w:style>
  <w:style w:type="character" w:styleId="SubtleEmphasis">
    <w:name w:val="Subtle Emphasis"/>
    <w:basedOn w:val="DefaultParagraphFont"/>
    <w:uiPriority w:val="19"/>
    <w:qFormat/>
    <w:rsid w:val="00641096"/>
    <w:rPr>
      <w:i/>
      <w:iCs/>
      <w:color w:val="808080" w:themeColor="text1" w:themeTint="7F"/>
    </w:rPr>
  </w:style>
  <w:style w:type="character" w:styleId="IntenseEmphasis">
    <w:name w:val="Intense Emphasis"/>
    <w:basedOn w:val="DefaultParagraphFont"/>
    <w:uiPriority w:val="21"/>
    <w:qFormat/>
    <w:rsid w:val="00641096"/>
    <w:rPr>
      <w:b/>
      <w:bCs/>
      <w:i/>
      <w:iCs/>
      <w:color w:val="156082" w:themeColor="accent1"/>
    </w:rPr>
  </w:style>
  <w:style w:type="character" w:styleId="SubtleReference">
    <w:name w:val="Subtle Reference"/>
    <w:basedOn w:val="DefaultParagraphFont"/>
    <w:uiPriority w:val="31"/>
    <w:qFormat/>
    <w:rsid w:val="00641096"/>
    <w:rPr>
      <w:smallCaps/>
      <w:color w:val="E97132" w:themeColor="accent2"/>
      <w:u w:val="single"/>
    </w:rPr>
  </w:style>
  <w:style w:type="character" w:styleId="IntenseReference">
    <w:name w:val="Intense Reference"/>
    <w:basedOn w:val="DefaultParagraphFont"/>
    <w:uiPriority w:val="32"/>
    <w:qFormat/>
    <w:rsid w:val="00641096"/>
    <w:rPr>
      <w:b/>
      <w:bCs/>
      <w:smallCaps/>
      <w:color w:val="E97132" w:themeColor="accent2"/>
      <w:spacing w:val="5"/>
      <w:u w:val="single"/>
    </w:rPr>
  </w:style>
  <w:style w:type="character" w:styleId="BookTitle">
    <w:name w:val="Book Title"/>
    <w:basedOn w:val="DefaultParagraphFont"/>
    <w:uiPriority w:val="33"/>
    <w:qFormat/>
    <w:rsid w:val="00641096"/>
    <w:rPr>
      <w:b/>
      <w:bCs/>
      <w:smallCaps/>
      <w:spacing w:val="5"/>
    </w:rPr>
  </w:style>
  <w:style w:type="paragraph" w:styleId="TOCHeading">
    <w:name w:val="TOC Heading"/>
    <w:basedOn w:val="Heading1"/>
    <w:next w:val="Normal"/>
    <w:uiPriority w:val="39"/>
    <w:semiHidden/>
    <w:unhideWhenUsed/>
    <w:qFormat/>
    <w:rsid w:val="00641096"/>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0F4761" w:themeColor="accent1" w:themeShade="BF"/>
    </w:rPr>
    <w:tblPr>
      <w:tblStyleRowBandSize w:val="1"/>
      <w:tblStyleColBandSize w:val="1"/>
      <w:tblBorders>
        <w:top w:val="single" w:sz="8" w:space="0" w:color="156082" w:themeColor="accent1"/>
        <w:bottom w:val="single" w:sz="8" w:space="0" w:color="156082" w:themeColor="accent1"/>
      </w:tblBorders>
    </w:tblPr>
    <w:tblStylePr w:type="fir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la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left w:val="nil"/>
          <w:right w:val="nil"/>
          <w:insideH w:val="nil"/>
          <w:insideV w:val="nil"/>
        </w:tcBorders>
        <w:shd w:val="clear" w:color="auto" w:fill="B2DEF2" w:themeFill="accent1" w:themeFillTint="3F"/>
      </w:tcPr>
    </w:tblStylePr>
  </w:style>
  <w:style w:type="table" w:styleId="LightShading-Accent2">
    <w:name w:val="Light Shading Accent 2"/>
    <w:basedOn w:val="TableNormal"/>
    <w:uiPriority w:val="60"/>
    <w:rsid w:val="00FC693F"/>
    <w:pPr>
      <w:spacing w:after="0" w:line="240" w:lineRule="auto"/>
    </w:pPr>
    <w:rPr>
      <w:color w:val="BF4E14" w:themeColor="accent2" w:themeShade="BF"/>
    </w:rPr>
    <w:tblPr>
      <w:tblStyleRowBandSize w:val="1"/>
      <w:tblStyleColBandSize w:val="1"/>
      <w:tblBorders>
        <w:top w:val="single" w:sz="8" w:space="0" w:color="E97132" w:themeColor="accent2"/>
        <w:bottom w:val="single" w:sz="8" w:space="0" w:color="E97132" w:themeColor="accent2"/>
      </w:tblBorders>
    </w:tblPr>
    <w:tblStylePr w:type="fir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la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left w:val="nil"/>
          <w:right w:val="nil"/>
          <w:insideH w:val="nil"/>
          <w:insideV w:val="nil"/>
        </w:tcBorders>
        <w:shd w:val="clear" w:color="auto" w:fill="F9DBCC" w:themeFill="accent2" w:themeFillTint="3F"/>
      </w:tcPr>
    </w:tblStylePr>
  </w:style>
  <w:style w:type="table" w:styleId="LightShading-Accent3">
    <w:name w:val="Light Shading Accent 3"/>
    <w:basedOn w:val="TableNormal"/>
    <w:uiPriority w:val="60"/>
    <w:rsid w:val="00FC693F"/>
    <w:pPr>
      <w:spacing w:after="0" w:line="240" w:lineRule="auto"/>
    </w:pPr>
    <w:rPr>
      <w:color w:val="124F1A" w:themeColor="accent3" w:themeShade="BF"/>
    </w:rPr>
    <w:tblPr>
      <w:tblStyleRowBandSize w:val="1"/>
      <w:tblStyleColBandSize w:val="1"/>
      <w:tblBorders>
        <w:top w:val="single" w:sz="8" w:space="0" w:color="196B24" w:themeColor="accent3"/>
        <w:bottom w:val="single" w:sz="8" w:space="0" w:color="196B24" w:themeColor="accent3"/>
      </w:tblBorders>
    </w:tblPr>
    <w:tblStylePr w:type="fir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la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left w:val="nil"/>
          <w:right w:val="nil"/>
          <w:insideH w:val="nil"/>
          <w:insideV w:val="nil"/>
        </w:tcBorders>
        <w:shd w:val="clear" w:color="auto" w:fill="B3EDBA" w:themeFill="accent3" w:themeFillTint="3F"/>
      </w:tcPr>
    </w:tblStylePr>
  </w:style>
  <w:style w:type="table" w:styleId="LightShading-Accent4">
    <w:name w:val="Light Shading Accent 4"/>
    <w:basedOn w:val="TableNormal"/>
    <w:uiPriority w:val="60"/>
    <w:rsid w:val="00FC693F"/>
    <w:pPr>
      <w:spacing w:after="0" w:line="240" w:lineRule="auto"/>
    </w:pPr>
    <w:rPr>
      <w:color w:val="0B769F" w:themeColor="accent4" w:themeShade="BF"/>
    </w:rPr>
    <w:tblPr>
      <w:tblStyleRowBandSize w:val="1"/>
      <w:tblStyleColBandSize w:val="1"/>
      <w:tblBorders>
        <w:top w:val="single" w:sz="8" w:space="0" w:color="0F9ED5" w:themeColor="accent4"/>
        <w:bottom w:val="single" w:sz="8" w:space="0" w:color="0F9ED5" w:themeColor="accent4"/>
      </w:tblBorders>
    </w:tblPr>
    <w:tblStylePr w:type="fir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la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left w:val="nil"/>
          <w:right w:val="nil"/>
          <w:insideH w:val="nil"/>
          <w:insideV w:val="nil"/>
        </w:tcBorders>
        <w:shd w:val="clear" w:color="auto" w:fill="BDE9FA" w:themeFill="accent4" w:themeFillTint="3F"/>
      </w:tcPr>
    </w:tblStylePr>
  </w:style>
  <w:style w:type="table" w:styleId="LightShading-Accent5">
    <w:name w:val="Light Shading Accent 5"/>
    <w:basedOn w:val="TableNormal"/>
    <w:uiPriority w:val="60"/>
    <w:rsid w:val="00FC693F"/>
    <w:pPr>
      <w:spacing w:after="0" w:line="240" w:lineRule="auto"/>
    </w:pPr>
    <w:rPr>
      <w:color w:val="77206D" w:themeColor="accent5" w:themeShade="BF"/>
    </w:rPr>
    <w:tblPr>
      <w:tblStyleRowBandSize w:val="1"/>
      <w:tblStyleColBandSize w:val="1"/>
      <w:tblBorders>
        <w:top w:val="single" w:sz="8" w:space="0" w:color="A02B93" w:themeColor="accent5"/>
        <w:bottom w:val="single" w:sz="8" w:space="0" w:color="A02B93" w:themeColor="accent5"/>
      </w:tblBorders>
    </w:tblPr>
    <w:tblStylePr w:type="fir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la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left w:val="nil"/>
          <w:right w:val="nil"/>
          <w:insideH w:val="nil"/>
          <w:insideV w:val="nil"/>
        </w:tcBorders>
        <w:shd w:val="clear" w:color="auto" w:fill="EFC3E9" w:themeFill="accent5" w:themeFillTint="3F"/>
      </w:tcPr>
    </w:tblStylePr>
  </w:style>
  <w:style w:type="table" w:styleId="LightShading-Accent6">
    <w:name w:val="Light Shading Accent 6"/>
    <w:basedOn w:val="TableNormal"/>
    <w:uiPriority w:val="60"/>
    <w:rsid w:val="00FC693F"/>
    <w:pPr>
      <w:spacing w:after="0" w:line="240" w:lineRule="auto"/>
    </w:pPr>
    <w:rPr>
      <w:color w:val="3A7C22" w:themeColor="accent6" w:themeShade="BF"/>
    </w:rPr>
    <w:tblPr>
      <w:tblStyleRowBandSize w:val="1"/>
      <w:tblStyleColBandSize w:val="1"/>
      <w:tblBorders>
        <w:top w:val="single" w:sz="8" w:space="0" w:color="4EA72E" w:themeColor="accent6"/>
        <w:bottom w:val="single" w:sz="8" w:space="0" w:color="4EA72E" w:themeColor="accent6"/>
      </w:tblBorders>
    </w:tblPr>
    <w:tblStylePr w:type="fir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la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left w:val="nil"/>
          <w:right w:val="nil"/>
          <w:insideH w:val="nil"/>
          <w:insideV w:val="nil"/>
        </w:tcBorders>
        <w:shd w:val="clear" w:color="auto" w:fill="D0EFC5"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pPr>
        <w:spacing w:before="0" w:after="0" w:line="240" w:lineRule="auto"/>
      </w:pPr>
      <w:rPr>
        <w:b/>
        <w:bCs/>
        <w:color w:val="FFFFFF" w:themeColor="background1"/>
      </w:rPr>
      <w:tblPr/>
      <w:tcPr>
        <w:shd w:val="clear" w:color="auto" w:fill="156082" w:themeFill="accent1"/>
      </w:tcPr>
    </w:tblStylePr>
    <w:tblStylePr w:type="lastRow">
      <w:pPr>
        <w:spacing w:before="0" w:after="0" w:line="240" w:lineRule="auto"/>
      </w:pPr>
      <w:rPr>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tcBorders>
      </w:tcPr>
    </w:tblStylePr>
    <w:tblStylePr w:type="firstCol">
      <w:rPr>
        <w:b/>
        <w:bCs/>
      </w:rPr>
    </w:tblStylePr>
    <w:tblStylePr w:type="lastCol">
      <w:rPr>
        <w:b/>
        <w:bCs/>
      </w:r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pPr>
        <w:spacing w:before="0" w:after="0" w:line="240" w:lineRule="auto"/>
      </w:pPr>
      <w:rPr>
        <w:b/>
        <w:bCs/>
        <w:color w:val="FFFFFF" w:themeColor="background1"/>
      </w:rPr>
      <w:tblPr/>
      <w:tcPr>
        <w:shd w:val="clear" w:color="auto" w:fill="E97132" w:themeFill="accent2"/>
      </w:tcPr>
    </w:tblStylePr>
    <w:tblStylePr w:type="lastRow">
      <w:pPr>
        <w:spacing w:before="0" w:after="0" w:line="240" w:lineRule="auto"/>
      </w:pPr>
      <w:rPr>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tcBorders>
      </w:tcPr>
    </w:tblStylePr>
    <w:tblStylePr w:type="firstCol">
      <w:rPr>
        <w:b/>
        <w:bCs/>
      </w:rPr>
    </w:tblStylePr>
    <w:tblStylePr w:type="lastCol">
      <w:rPr>
        <w:b/>
        <w:bCs/>
      </w:r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pPr>
        <w:spacing w:before="0" w:after="0" w:line="240" w:lineRule="auto"/>
      </w:pPr>
      <w:rPr>
        <w:b/>
        <w:bCs/>
        <w:color w:val="FFFFFF" w:themeColor="background1"/>
      </w:rPr>
      <w:tblPr/>
      <w:tcPr>
        <w:shd w:val="clear" w:color="auto" w:fill="196B24" w:themeFill="accent3"/>
      </w:tcPr>
    </w:tblStylePr>
    <w:tblStylePr w:type="lastRow">
      <w:pPr>
        <w:spacing w:before="0" w:after="0" w:line="240" w:lineRule="auto"/>
      </w:pPr>
      <w:rPr>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tcBorders>
      </w:tcPr>
    </w:tblStylePr>
    <w:tblStylePr w:type="firstCol">
      <w:rPr>
        <w:b/>
        <w:bCs/>
      </w:rPr>
    </w:tblStylePr>
    <w:tblStylePr w:type="lastCol">
      <w:rPr>
        <w:b/>
        <w:bCs/>
      </w:r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pPr>
        <w:spacing w:before="0" w:after="0" w:line="240" w:lineRule="auto"/>
      </w:pPr>
      <w:rPr>
        <w:b/>
        <w:bCs/>
        <w:color w:val="FFFFFF" w:themeColor="background1"/>
      </w:rPr>
      <w:tblPr/>
      <w:tcPr>
        <w:shd w:val="clear" w:color="auto" w:fill="0F9ED5" w:themeFill="accent4"/>
      </w:tcPr>
    </w:tblStylePr>
    <w:tblStylePr w:type="lastRow">
      <w:pPr>
        <w:spacing w:before="0" w:after="0" w:line="240" w:lineRule="auto"/>
      </w:pPr>
      <w:rPr>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tcBorders>
      </w:tcPr>
    </w:tblStylePr>
    <w:tblStylePr w:type="firstCol">
      <w:rPr>
        <w:b/>
        <w:bCs/>
      </w:rPr>
    </w:tblStylePr>
    <w:tblStylePr w:type="lastCol">
      <w:rPr>
        <w:b/>
        <w:bCs/>
      </w:r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pPr>
        <w:spacing w:before="0" w:after="0" w:line="240" w:lineRule="auto"/>
      </w:pPr>
      <w:rPr>
        <w:b/>
        <w:bCs/>
        <w:color w:val="FFFFFF" w:themeColor="background1"/>
      </w:rPr>
      <w:tblPr/>
      <w:tcPr>
        <w:shd w:val="clear" w:color="auto" w:fill="A02B93" w:themeFill="accent5"/>
      </w:tcPr>
    </w:tblStylePr>
    <w:tblStylePr w:type="lastRow">
      <w:pPr>
        <w:spacing w:before="0" w:after="0" w:line="240" w:lineRule="auto"/>
      </w:pPr>
      <w:rPr>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tcBorders>
      </w:tcPr>
    </w:tblStylePr>
    <w:tblStylePr w:type="firstCol">
      <w:rPr>
        <w:b/>
        <w:bCs/>
      </w:rPr>
    </w:tblStylePr>
    <w:tblStylePr w:type="lastCol">
      <w:rPr>
        <w:b/>
        <w:bCs/>
      </w:r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pPr>
        <w:spacing w:before="0" w:after="0" w:line="240" w:lineRule="auto"/>
      </w:pPr>
      <w:rPr>
        <w:b/>
        <w:bCs/>
        <w:color w:val="FFFFFF" w:themeColor="background1"/>
      </w:rPr>
      <w:tblPr/>
      <w:tcPr>
        <w:shd w:val="clear" w:color="auto" w:fill="4EA72E" w:themeFill="accent6"/>
      </w:tcPr>
    </w:tblStylePr>
    <w:tblStylePr w:type="lastRow">
      <w:pPr>
        <w:spacing w:before="0" w:after="0" w:line="240" w:lineRule="auto"/>
      </w:pPr>
      <w:rPr>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tcBorders>
      </w:tcPr>
    </w:tblStylePr>
    <w:tblStylePr w:type="firstCol">
      <w:rPr>
        <w:b/>
        <w:bCs/>
      </w:rPr>
    </w:tblStylePr>
    <w:tblStylePr w:type="lastCol">
      <w:rPr>
        <w:b/>
        <w:bCs/>
      </w:r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18" w:space="0" w:color="156082" w:themeColor="accent1"/>
          <w:right w:val="single" w:sz="8" w:space="0" w:color="156082" w:themeColor="accent1"/>
          <w:insideH w:val="nil"/>
          <w:insideV w:val="single" w:sz="8" w:space="0" w:color="156082"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insideH w:val="nil"/>
          <w:insideV w:val="single" w:sz="8" w:space="0" w:color="156082"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shd w:val="clear" w:color="auto" w:fill="B2DEF2" w:themeFill="accent1" w:themeFillTint="3F"/>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shd w:val="clear" w:color="auto" w:fill="B2DEF2" w:themeFill="accent1" w:themeFillTint="3F"/>
      </w:tcPr>
    </w:tblStylePr>
    <w:tblStylePr w:type="band2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18" w:space="0" w:color="E97132" w:themeColor="accent2"/>
          <w:right w:val="single" w:sz="8" w:space="0" w:color="E97132" w:themeColor="accent2"/>
          <w:insideH w:val="nil"/>
          <w:insideV w:val="single" w:sz="8" w:space="0" w:color="E97132"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insideH w:val="nil"/>
          <w:insideV w:val="single" w:sz="8" w:space="0" w:color="E97132"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shd w:val="clear" w:color="auto" w:fill="F9DBCC" w:themeFill="accent2" w:themeFillTint="3F"/>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shd w:val="clear" w:color="auto" w:fill="F9DBCC" w:themeFill="accent2" w:themeFillTint="3F"/>
      </w:tcPr>
    </w:tblStylePr>
    <w:tblStylePr w:type="band2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18" w:space="0" w:color="196B24" w:themeColor="accent3"/>
          <w:right w:val="single" w:sz="8" w:space="0" w:color="196B24" w:themeColor="accent3"/>
          <w:insideH w:val="nil"/>
          <w:insideV w:val="single" w:sz="8" w:space="0" w:color="196B24"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insideH w:val="nil"/>
          <w:insideV w:val="single" w:sz="8" w:space="0" w:color="196B24"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shd w:val="clear" w:color="auto" w:fill="B3EDBA" w:themeFill="accent3" w:themeFillTint="3F"/>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shd w:val="clear" w:color="auto" w:fill="B3EDBA" w:themeFill="accent3" w:themeFillTint="3F"/>
      </w:tcPr>
    </w:tblStylePr>
    <w:tblStylePr w:type="band2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18" w:space="0" w:color="0F9ED5" w:themeColor="accent4"/>
          <w:right w:val="single" w:sz="8" w:space="0" w:color="0F9ED5" w:themeColor="accent4"/>
          <w:insideH w:val="nil"/>
          <w:insideV w:val="single" w:sz="8" w:space="0" w:color="0F9ED5"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insideH w:val="nil"/>
          <w:insideV w:val="single" w:sz="8" w:space="0" w:color="0F9ED5"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shd w:val="clear" w:color="auto" w:fill="BDE9FA" w:themeFill="accent4" w:themeFillTint="3F"/>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shd w:val="clear" w:color="auto" w:fill="BDE9FA" w:themeFill="accent4" w:themeFillTint="3F"/>
      </w:tcPr>
    </w:tblStylePr>
    <w:tblStylePr w:type="band2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18" w:space="0" w:color="A02B93" w:themeColor="accent5"/>
          <w:right w:val="single" w:sz="8" w:space="0" w:color="A02B93" w:themeColor="accent5"/>
          <w:insideH w:val="nil"/>
          <w:insideV w:val="single" w:sz="8" w:space="0" w:color="A02B93"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insideH w:val="nil"/>
          <w:insideV w:val="single" w:sz="8" w:space="0" w:color="A02B93"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shd w:val="clear" w:color="auto" w:fill="EFC3E9" w:themeFill="accent5" w:themeFillTint="3F"/>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shd w:val="clear" w:color="auto" w:fill="EFC3E9" w:themeFill="accent5" w:themeFillTint="3F"/>
      </w:tcPr>
    </w:tblStylePr>
    <w:tblStylePr w:type="band2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18" w:space="0" w:color="4EA72E" w:themeColor="accent6"/>
          <w:right w:val="single" w:sz="8" w:space="0" w:color="4EA72E" w:themeColor="accent6"/>
          <w:insideH w:val="nil"/>
          <w:insideV w:val="single" w:sz="8" w:space="0" w:color="4EA72E"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insideH w:val="nil"/>
          <w:insideV w:val="single" w:sz="8" w:space="0" w:color="4EA72E"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shd w:val="clear" w:color="auto" w:fill="D0EFC5" w:themeFill="accent6" w:themeFillTint="3F"/>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shd w:val="clear" w:color="auto" w:fill="D0EFC5" w:themeFill="accent6" w:themeFillTint="3F"/>
      </w:tcPr>
    </w:tblStylePr>
    <w:tblStylePr w:type="band2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tblBorders>
    </w:tblPr>
    <w:tblStylePr w:type="firstRow">
      <w:pPr>
        <w:spacing w:before="0" w:after="0" w:line="240" w:lineRule="auto"/>
      </w:pPr>
      <w:rPr>
        <w:b/>
        <w:bCs/>
        <w:color w:val="FFFFFF" w:themeColor="background1"/>
      </w:rPr>
      <w:tblPr/>
      <w:tcPr>
        <w:tc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shd w:val="clear" w:color="auto" w:fill="156082" w:themeFill="accent1"/>
      </w:tcPr>
    </w:tblStylePr>
    <w:tblStylePr w:type="lastRow">
      <w:pPr>
        <w:spacing w:before="0" w:after="0" w:line="240" w:lineRule="auto"/>
      </w:pPr>
      <w:rPr>
        <w:b/>
        <w:bCs/>
      </w:rPr>
      <w:tblPr/>
      <w:tcPr>
        <w:tcBorders>
          <w:top w:val="double" w:sz="6"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tcPr>
    </w:tblStylePr>
    <w:tblStylePr w:type="firstCol">
      <w:rPr>
        <w:b/>
        <w:bCs/>
      </w:rPr>
    </w:tblStylePr>
    <w:tblStylePr w:type="lastCol">
      <w:rPr>
        <w:b/>
        <w:bCs/>
      </w:rPr>
    </w:tblStylePr>
    <w:tblStylePr w:type="band1Vert">
      <w:tblPr/>
      <w:tcPr>
        <w:shd w:val="clear" w:color="auto" w:fill="B2DEF2" w:themeFill="accent1" w:themeFillTint="3F"/>
      </w:tcPr>
    </w:tblStylePr>
    <w:tblStylePr w:type="band1Horz">
      <w:tblPr/>
      <w:tcPr>
        <w:tcBorders>
          <w:insideH w:val="nil"/>
          <w:insideV w:val="nil"/>
        </w:tcBorders>
        <w:shd w:val="clear" w:color="auto" w:fill="B2DEF2"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tblBorders>
    </w:tblPr>
    <w:tblStylePr w:type="firstRow">
      <w:pPr>
        <w:spacing w:before="0" w:after="0" w:line="240" w:lineRule="auto"/>
      </w:pPr>
      <w:rPr>
        <w:b/>
        <w:bCs/>
        <w:color w:val="FFFFFF" w:themeColor="background1"/>
      </w:rPr>
      <w:tblPr/>
      <w:tcPr>
        <w:tc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shd w:val="clear" w:color="auto" w:fill="E97132" w:themeFill="accent2"/>
      </w:tcPr>
    </w:tblStylePr>
    <w:tblStylePr w:type="lastRow">
      <w:pPr>
        <w:spacing w:before="0" w:after="0" w:line="240" w:lineRule="auto"/>
      </w:pPr>
      <w:rPr>
        <w:b/>
        <w:bCs/>
      </w:rPr>
      <w:tblPr/>
      <w:tcPr>
        <w:tcBorders>
          <w:top w:val="double" w:sz="6"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tcPr>
    </w:tblStylePr>
    <w:tblStylePr w:type="firstCol">
      <w:rPr>
        <w:b/>
        <w:bCs/>
      </w:rPr>
    </w:tblStylePr>
    <w:tblStylePr w:type="lastCol">
      <w:rPr>
        <w:b/>
        <w:bCs/>
      </w:rPr>
    </w:tblStylePr>
    <w:tblStylePr w:type="band1Vert">
      <w:tblPr/>
      <w:tcPr>
        <w:shd w:val="clear" w:color="auto" w:fill="F9DBCC" w:themeFill="accent2" w:themeFillTint="3F"/>
      </w:tcPr>
    </w:tblStylePr>
    <w:tblStylePr w:type="band1Horz">
      <w:tblPr/>
      <w:tcPr>
        <w:tcBorders>
          <w:insideH w:val="nil"/>
          <w:insideV w:val="nil"/>
        </w:tcBorders>
        <w:shd w:val="clear" w:color="auto" w:fill="F9DBCC"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tblBorders>
    </w:tblPr>
    <w:tblStylePr w:type="firstRow">
      <w:pPr>
        <w:spacing w:before="0" w:after="0" w:line="240" w:lineRule="auto"/>
      </w:pPr>
      <w:rPr>
        <w:b/>
        <w:bCs/>
        <w:color w:val="FFFFFF" w:themeColor="background1"/>
      </w:rPr>
      <w:tblPr/>
      <w:tcPr>
        <w:tc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shd w:val="clear" w:color="auto" w:fill="196B24" w:themeFill="accent3"/>
      </w:tcPr>
    </w:tblStylePr>
    <w:tblStylePr w:type="lastRow">
      <w:pPr>
        <w:spacing w:before="0" w:after="0" w:line="240" w:lineRule="auto"/>
      </w:pPr>
      <w:rPr>
        <w:b/>
        <w:bCs/>
      </w:rPr>
      <w:tblPr/>
      <w:tcPr>
        <w:tcBorders>
          <w:top w:val="double" w:sz="6"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tcPr>
    </w:tblStylePr>
    <w:tblStylePr w:type="firstCol">
      <w:rPr>
        <w:b/>
        <w:bCs/>
      </w:rPr>
    </w:tblStylePr>
    <w:tblStylePr w:type="lastCol">
      <w:rPr>
        <w:b/>
        <w:bCs/>
      </w:rPr>
    </w:tblStylePr>
    <w:tblStylePr w:type="band1Vert">
      <w:tblPr/>
      <w:tcPr>
        <w:shd w:val="clear" w:color="auto" w:fill="B3EDBA" w:themeFill="accent3" w:themeFillTint="3F"/>
      </w:tcPr>
    </w:tblStylePr>
    <w:tblStylePr w:type="band1Horz">
      <w:tblPr/>
      <w:tcPr>
        <w:tcBorders>
          <w:insideH w:val="nil"/>
          <w:insideV w:val="nil"/>
        </w:tcBorders>
        <w:shd w:val="clear" w:color="auto" w:fill="B3EDBA"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tblBorders>
    </w:tblPr>
    <w:tblStylePr w:type="firstRow">
      <w:pPr>
        <w:spacing w:before="0" w:after="0" w:line="240" w:lineRule="auto"/>
      </w:pPr>
      <w:rPr>
        <w:b/>
        <w:bCs/>
        <w:color w:val="FFFFFF" w:themeColor="background1"/>
      </w:rPr>
      <w:tblPr/>
      <w:tcPr>
        <w:tc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shd w:val="clear" w:color="auto" w:fill="0F9ED5" w:themeFill="accent4"/>
      </w:tcPr>
    </w:tblStylePr>
    <w:tblStylePr w:type="lastRow">
      <w:pPr>
        <w:spacing w:before="0" w:after="0" w:line="240" w:lineRule="auto"/>
      </w:pPr>
      <w:rPr>
        <w:b/>
        <w:bCs/>
      </w:rPr>
      <w:tblPr/>
      <w:tcPr>
        <w:tcBorders>
          <w:top w:val="double" w:sz="6"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tcPr>
    </w:tblStylePr>
    <w:tblStylePr w:type="firstCol">
      <w:rPr>
        <w:b/>
        <w:bCs/>
      </w:rPr>
    </w:tblStylePr>
    <w:tblStylePr w:type="lastCol">
      <w:rPr>
        <w:b/>
        <w:bCs/>
      </w:rPr>
    </w:tblStylePr>
    <w:tblStylePr w:type="band1Vert">
      <w:tblPr/>
      <w:tcPr>
        <w:shd w:val="clear" w:color="auto" w:fill="BDE9FA" w:themeFill="accent4" w:themeFillTint="3F"/>
      </w:tcPr>
    </w:tblStylePr>
    <w:tblStylePr w:type="band1Horz">
      <w:tblPr/>
      <w:tcPr>
        <w:tcBorders>
          <w:insideH w:val="nil"/>
          <w:insideV w:val="nil"/>
        </w:tcBorders>
        <w:shd w:val="clear" w:color="auto" w:fill="BDE9FA"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tblBorders>
    </w:tblPr>
    <w:tblStylePr w:type="firstRow">
      <w:pPr>
        <w:spacing w:before="0" w:after="0" w:line="240" w:lineRule="auto"/>
      </w:pPr>
      <w:rPr>
        <w:b/>
        <w:bCs/>
        <w:color w:val="FFFFFF" w:themeColor="background1"/>
      </w:rPr>
      <w:tblPr/>
      <w:tcPr>
        <w:tc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shd w:val="clear" w:color="auto" w:fill="A02B93" w:themeFill="accent5"/>
      </w:tcPr>
    </w:tblStylePr>
    <w:tblStylePr w:type="lastRow">
      <w:pPr>
        <w:spacing w:before="0" w:after="0" w:line="240" w:lineRule="auto"/>
      </w:pPr>
      <w:rPr>
        <w:b/>
        <w:bCs/>
      </w:rPr>
      <w:tblPr/>
      <w:tcPr>
        <w:tcBorders>
          <w:top w:val="double" w:sz="6"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tcPr>
    </w:tblStylePr>
    <w:tblStylePr w:type="firstCol">
      <w:rPr>
        <w:b/>
        <w:bCs/>
      </w:rPr>
    </w:tblStylePr>
    <w:tblStylePr w:type="lastCol">
      <w:rPr>
        <w:b/>
        <w:bCs/>
      </w:rPr>
    </w:tblStylePr>
    <w:tblStylePr w:type="band1Vert">
      <w:tblPr/>
      <w:tcPr>
        <w:shd w:val="clear" w:color="auto" w:fill="EFC3E9" w:themeFill="accent5" w:themeFillTint="3F"/>
      </w:tcPr>
    </w:tblStylePr>
    <w:tblStylePr w:type="band1Horz">
      <w:tblPr/>
      <w:tcPr>
        <w:tcBorders>
          <w:insideH w:val="nil"/>
          <w:insideV w:val="nil"/>
        </w:tcBorders>
        <w:shd w:val="clear" w:color="auto" w:fill="EFC3E9"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tblBorders>
    </w:tblPr>
    <w:tblStylePr w:type="firstRow">
      <w:pPr>
        <w:spacing w:before="0" w:after="0" w:line="240" w:lineRule="auto"/>
      </w:pPr>
      <w:rPr>
        <w:b/>
        <w:bCs/>
        <w:color w:val="FFFFFF" w:themeColor="background1"/>
      </w:rPr>
      <w:tblPr/>
      <w:tcPr>
        <w:tc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shd w:val="clear" w:color="auto" w:fill="4EA72E" w:themeFill="accent6"/>
      </w:tcPr>
    </w:tblStylePr>
    <w:tblStylePr w:type="lastRow">
      <w:pPr>
        <w:spacing w:before="0" w:after="0" w:line="240" w:lineRule="auto"/>
      </w:pPr>
      <w:rPr>
        <w:b/>
        <w:bCs/>
      </w:rPr>
      <w:tblPr/>
      <w:tcPr>
        <w:tcBorders>
          <w:top w:val="double" w:sz="6"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tcPr>
    </w:tblStylePr>
    <w:tblStylePr w:type="firstCol">
      <w:rPr>
        <w:b/>
        <w:bCs/>
      </w:rPr>
    </w:tblStylePr>
    <w:tblStylePr w:type="lastCol">
      <w:rPr>
        <w:b/>
        <w:bCs/>
      </w:rPr>
    </w:tblStylePr>
    <w:tblStylePr w:type="band1Vert">
      <w:tblPr/>
      <w:tcPr>
        <w:shd w:val="clear" w:color="auto" w:fill="D0EFC5" w:themeFill="accent6" w:themeFillTint="3F"/>
      </w:tcPr>
    </w:tblStylePr>
    <w:tblStylePr w:type="band1Horz">
      <w:tblPr/>
      <w:tcPr>
        <w:tcBorders>
          <w:insideH w:val="nil"/>
          <w:insideV w:val="nil"/>
        </w:tcBorders>
        <w:shd w:val="clear" w:color="auto" w:fill="D0EFC5"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56082"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56082" w:themeFill="accent1"/>
      </w:tcPr>
    </w:tblStylePr>
    <w:tblStylePr w:type="lastCol">
      <w:rPr>
        <w:b/>
        <w:bCs/>
        <w:color w:val="FFFFFF" w:themeColor="background1"/>
      </w:rPr>
      <w:tblPr/>
      <w:tcPr>
        <w:tcBorders>
          <w:left w:val="nil"/>
          <w:right w:val="nil"/>
          <w:insideH w:val="nil"/>
          <w:insideV w:val="nil"/>
        </w:tcBorders>
        <w:shd w:val="clear" w:color="auto" w:fill="156082"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97132"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E97132" w:themeFill="accent2"/>
      </w:tcPr>
    </w:tblStylePr>
    <w:tblStylePr w:type="lastCol">
      <w:rPr>
        <w:b/>
        <w:bCs/>
        <w:color w:val="FFFFFF" w:themeColor="background1"/>
      </w:rPr>
      <w:tblPr/>
      <w:tcPr>
        <w:tcBorders>
          <w:left w:val="nil"/>
          <w:right w:val="nil"/>
          <w:insideH w:val="nil"/>
          <w:insideV w:val="nil"/>
        </w:tcBorders>
        <w:shd w:val="clear" w:color="auto" w:fill="E97132"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96B24"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96B24" w:themeFill="accent3"/>
      </w:tcPr>
    </w:tblStylePr>
    <w:tblStylePr w:type="lastCol">
      <w:rPr>
        <w:b/>
        <w:bCs/>
        <w:color w:val="FFFFFF" w:themeColor="background1"/>
      </w:rPr>
      <w:tblPr/>
      <w:tcPr>
        <w:tcBorders>
          <w:left w:val="nil"/>
          <w:right w:val="nil"/>
          <w:insideH w:val="nil"/>
          <w:insideV w:val="nil"/>
        </w:tcBorders>
        <w:shd w:val="clear" w:color="auto" w:fill="196B24"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F9ED5"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F9ED5" w:themeFill="accent4"/>
      </w:tcPr>
    </w:tblStylePr>
    <w:tblStylePr w:type="lastCol">
      <w:rPr>
        <w:b/>
        <w:bCs/>
        <w:color w:val="FFFFFF" w:themeColor="background1"/>
      </w:rPr>
      <w:tblPr/>
      <w:tcPr>
        <w:tcBorders>
          <w:left w:val="nil"/>
          <w:right w:val="nil"/>
          <w:insideH w:val="nil"/>
          <w:insideV w:val="nil"/>
        </w:tcBorders>
        <w:shd w:val="clear" w:color="auto" w:fill="0F9ED5"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02B93"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02B93" w:themeFill="accent5"/>
      </w:tcPr>
    </w:tblStylePr>
    <w:tblStylePr w:type="lastCol">
      <w:rPr>
        <w:b/>
        <w:bCs/>
        <w:color w:val="FFFFFF" w:themeColor="background1"/>
      </w:rPr>
      <w:tblPr/>
      <w:tcPr>
        <w:tcBorders>
          <w:left w:val="nil"/>
          <w:right w:val="nil"/>
          <w:insideH w:val="nil"/>
          <w:insideV w:val="nil"/>
        </w:tcBorders>
        <w:shd w:val="clear" w:color="auto" w:fill="A02B93"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EA72E"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EA72E" w:themeFill="accent6"/>
      </w:tcPr>
    </w:tblStylePr>
    <w:tblStylePr w:type="lastCol">
      <w:rPr>
        <w:b/>
        <w:bCs/>
        <w:color w:val="FFFFFF" w:themeColor="background1"/>
      </w:rPr>
      <w:tblPr/>
      <w:tcPr>
        <w:tcBorders>
          <w:left w:val="nil"/>
          <w:right w:val="nil"/>
          <w:insideH w:val="nil"/>
          <w:insideV w:val="nil"/>
        </w:tcBorders>
        <w:shd w:val="clear" w:color="auto" w:fill="4EA72E"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0E2841"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156082" w:themeColor="accent1"/>
        <w:bottom w:val="single" w:sz="8" w:space="0" w:color="156082" w:themeColor="accent1"/>
      </w:tblBorders>
    </w:tblPr>
    <w:tblStylePr w:type="firstRow">
      <w:rPr>
        <w:rFonts w:asciiTheme="majorHAnsi" w:eastAsiaTheme="majorEastAsia" w:hAnsiTheme="majorHAnsi" w:cstheme="majorBidi"/>
      </w:rPr>
      <w:tblPr/>
      <w:tcPr>
        <w:tcBorders>
          <w:top w:val="nil"/>
          <w:bottom w:val="single" w:sz="8" w:space="0" w:color="156082" w:themeColor="accent1"/>
        </w:tcBorders>
      </w:tcPr>
    </w:tblStylePr>
    <w:tblStylePr w:type="lastRow">
      <w:rPr>
        <w:b/>
        <w:bCs/>
        <w:color w:val="0E2841" w:themeColor="text2"/>
      </w:rPr>
      <w:tblPr/>
      <w:tcPr>
        <w:tcBorders>
          <w:top w:val="single" w:sz="8" w:space="0" w:color="156082" w:themeColor="accent1"/>
          <w:bottom w:val="single" w:sz="8" w:space="0" w:color="156082" w:themeColor="accent1"/>
        </w:tcBorders>
      </w:tcPr>
    </w:tblStylePr>
    <w:tblStylePr w:type="firstCol">
      <w:rPr>
        <w:b/>
        <w:bCs/>
      </w:rPr>
    </w:tblStylePr>
    <w:tblStylePr w:type="lastCol">
      <w:rPr>
        <w:b/>
        <w:bCs/>
      </w:rPr>
      <w:tblPr/>
      <w:tcPr>
        <w:tcBorders>
          <w:top w:val="single" w:sz="8" w:space="0" w:color="156082" w:themeColor="accent1"/>
          <w:bottom w:val="single" w:sz="8" w:space="0" w:color="156082" w:themeColor="accent1"/>
        </w:tcBorders>
      </w:tcPr>
    </w:tblStylePr>
    <w:tblStylePr w:type="band1Vert">
      <w:tblPr/>
      <w:tcPr>
        <w:shd w:val="clear" w:color="auto" w:fill="B2DEF2" w:themeFill="accent1" w:themeFillTint="3F"/>
      </w:tcPr>
    </w:tblStylePr>
    <w:tblStylePr w:type="band1Horz">
      <w:tblPr/>
      <w:tcPr>
        <w:shd w:val="clear" w:color="auto" w:fill="B2DEF2"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E97132" w:themeColor="accent2"/>
        <w:bottom w:val="single" w:sz="8" w:space="0" w:color="E97132" w:themeColor="accent2"/>
      </w:tblBorders>
    </w:tblPr>
    <w:tblStylePr w:type="firstRow">
      <w:rPr>
        <w:rFonts w:asciiTheme="majorHAnsi" w:eastAsiaTheme="majorEastAsia" w:hAnsiTheme="majorHAnsi" w:cstheme="majorBidi"/>
      </w:rPr>
      <w:tblPr/>
      <w:tcPr>
        <w:tcBorders>
          <w:top w:val="nil"/>
          <w:bottom w:val="single" w:sz="8" w:space="0" w:color="E97132" w:themeColor="accent2"/>
        </w:tcBorders>
      </w:tcPr>
    </w:tblStylePr>
    <w:tblStylePr w:type="lastRow">
      <w:rPr>
        <w:b/>
        <w:bCs/>
        <w:color w:val="0E2841" w:themeColor="text2"/>
      </w:rPr>
      <w:tblPr/>
      <w:tcPr>
        <w:tcBorders>
          <w:top w:val="single" w:sz="8" w:space="0" w:color="E97132" w:themeColor="accent2"/>
          <w:bottom w:val="single" w:sz="8" w:space="0" w:color="E97132" w:themeColor="accent2"/>
        </w:tcBorders>
      </w:tcPr>
    </w:tblStylePr>
    <w:tblStylePr w:type="firstCol">
      <w:rPr>
        <w:b/>
        <w:bCs/>
      </w:rPr>
    </w:tblStylePr>
    <w:tblStylePr w:type="lastCol">
      <w:rPr>
        <w:b/>
        <w:bCs/>
      </w:rPr>
      <w:tblPr/>
      <w:tcPr>
        <w:tcBorders>
          <w:top w:val="single" w:sz="8" w:space="0" w:color="E97132" w:themeColor="accent2"/>
          <w:bottom w:val="single" w:sz="8" w:space="0" w:color="E97132" w:themeColor="accent2"/>
        </w:tcBorders>
      </w:tcPr>
    </w:tblStylePr>
    <w:tblStylePr w:type="band1Vert">
      <w:tblPr/>
      <w:tcPr>
        <w:shd w:val="clear" w:color="auto" w:fill="F9DBCC" w:themeFill="accent2" w:themeFillTint="3F"/>
      </w:tcPr>
    </w:tblStylePr>
    <w:tblStylePr w:type="band1Horz">
      <w:tblPr/>
      <w:tcPr>
        <w:shd w:val="clear" w:color="auto" w:fill="F9DBCC"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196B24" w:themeColor="accent3"/>
        <w:bottom w:val="single" w:sz="8" w:space="0" w:color="196B24" w:themeColor="accent3"/>
      </w:tblBorders>
    </w:tblPr>
    <w:tblStylePr w:type="firstRow">
      <w:rPr>
        <w:rFonts w:asciiTheme="majorHAnsi" w:eastAsiaTheme="majorEastAsia" w:hAnsiTheme="majorHAnsi" w:cstheme="majorBidi"/>
      </w:rPr>
      <w:tblPr/>
      <w:tcPr>
        <w:tcBorders>
          <w:top w:val="nil"/>
          <w:bottom w:val="single" w:sz="8" w:space="0" w:color="196B24" w:themeColor="accent3"/>
        </w:tcBorders>
      </w:tcPr>
    </w:tblStylePr>
    <w:tblStylePr w:type="lastRow">
      <w:rPr>
        <w:b/>
        <w:bCs/>
        <w:color w:val="0E2841" w:themeColor="text2"/>
      </w:rPr>
      <w:tblPr/>
      <w:tcPr>
        <w:tcBorders>
          <w:top w:val="single" w:sz="8" w:space="0" w:color="196B24" w:themeColor="accent3"/>
          <w:bottom w:val="single" w:sz="8" w:space="0" w:color="196B24" w:themeColor="accent3"/>
        </w:tcBorders>
      </w:tcPr>
    </w:tblStylePr>
    <w:tblStylePr w:type="firstCol">
      <w:rPr>
        <w:b/>
        <w:bCs/>
      </w:rPr>
    </w:tblStylePr>
    <w:tblStylePr w:type="lastCol">
      <w:rPr>
        <w:b/>
        <w:bCs/>
      </w:rPr>
      <w:tblPr/>
      <w:tcPr>
        <w:tcBorders>
          <w:top w:val="single" w:sz="8" w:space="0" w:color="196B24" w:themeColor="accent3"/>
          <w:bottom w:val="single" w:sz="8" w:space="0" w:color="196B24" w:themeColor="accent3"/>
        </w:tcBorders>
      </w:tcPr>
    </w:tblStylePr>
    <w:tblStylePr w:type="band1Vert">
      <w:tblPr/>
      <w:tcPr>
        <w:shd w:val="clear" w:color="auto" w:fill="B3EDBA" w:themeFill="accent3" w:themeFillTint="3F"/>
      </w:tcPr>
    </w:tblStylePr>
    <w:tblStylePr w:type="band1Horz">
      <w:tblPr/>
      <w:tcPr>
        <w:shd w:val="clear" w:color="auto" w:fill="B3EDBA"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0F9ED5" w:themeColor="accent4"/>
        <w:bottom w:val="single" w:sz="8" w:space="0" w:color="0F9ED5" w:themeColor="accent4"/>
      </w:tblBorders>
    </w:tblPr>
    <w:tblStylePr w:type="firstRow">
      <w:rPr>
        <w:rFonts w:asciiTheme="majorHAnsi" w:eastAsiaTheme="majorEastAsia" w:hAnsiTheme="majorHAnsi" w:cstheme="majorBidi"/>
      </w:rPr>
      <w:tblPr/>
      <w:tcPr>
        <w:tcBorders>
          <w:top w:val="nil"/>
          <w:bottom w:val="single" w:sz="8" w:space="0" w:color="0F9ED5" w:themeColor="accent4"/>
        </w:tcBorders>
      </w:tcPr>
    </w:tblStylePr>
    <w:tblStylePr w:type="lastRow">
      <w:rPr>
        <w:b/>
        <w:bCs/>
        <w:color w:val="0E2841" w:themeColor="text2"/>
      </w:rPr>
      <w:tblPr/>
      <w:tcPr>
        <w:tcBorders>
          <w:top w:val="single" w:sz="8" w:space="0" w:color="0F9ED5" w:themeColor="accent4"/>
          <w:bottom w:val="single" w:sz="8" w:space="0" w:color="0F9ED5" w:themeColor="accent4"/>
        </w:tcBorders>
      </w:tcPr>
    </w:tblStylePr>
    <w:tblStylePr w:type="firstCol">
      <w:rPr>
        <w:b/>
        <w:bCs/>
      </w:rPr>
    </w:tblStylePr>
    <w:tblStylePr w:type="lastCol">
      <w:rPr>
        <w:b/>
        <w:bCs/>
      </w:rPr>
      <w:tblPr/>
      <w:tcPr>
        <w:tcBorders>
          <w:top w:val="single" w:sz="8" w:space="0" w:color="0F9ED5" w:themeColor="accent4"/>
          <w:bottom w:val="single" w:sz="8" w:space="0" w:color="0F9ED5" w:themeColor="accent4"/>
        </w:tcBorders>
      </w:tcPr>
    </w:tblStylePr>
    <w:tblStylePr w:type="band1Vert">
      <w:tblPr/>
      <w:tcPr>
        <w:shd w:val="clear" w:color="auto" w:fill="BDE9FA" w:themeFill="accent4" w:themeFillTint="3F"/>
      </w:tcPr>
    </w:tblStylePr>
    <w:tblStylePr w:type="band1Horz">
      <w:tblPr/>
      <w:tcPr>
        <w:shd w:val="clear" w:color="auto" w:fill="BDE9FA"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A02B93" w:themeColor="accent5"/>
        <w:bottom w:val="single" w:sz="8" w:space="0" w:color="A02B93" w:themeColor="accent5"/>
      </w:tblBorders>
    </w:tblPr>
    <w:tblStylePr w:type="firstRow">
      <w:rPr>
        <w:rFonts w:asciiTheme="majorHAnsi" w:eastAsiaTheme="majorEastAsia" w:hAnsiTheme="majorHAnsi" w:cstheme="majorBidi"/>
      </w:rPr>
      <w:tblPr/>
      <w:tcPr>
        <w:tcBorders>
          <w:top w:val="nil"/>
          <w:bottom w:val="single" w:sz="8" w:space="0" w:color="A02B93" w:themeColor="accent5"/>
        </w:tcBorders>
      </w:tcPr>
    </w:tblStylePr>
    <w:tblStylePr w:type="lastRow">
      <w:rPr>
        <w:b/>
        <w:bCs/>
        <w:color w:val="0E2841" w:themeColor="text2"/>
      </w:rPr>
      <w:tblPr/>
      <w:tcPr>
        <w:tcBorders>
          <w:top w:val="single" w:sz="8" w:space="0" w:color="A02B93" w:themeColor="accent5"/>
          <w:bottom w:val="single" w:sz="8" w:space="0" w:color="A02B93" w:themeColor="accent5"/>
        </w:tcBorders>
      </w:tcPr>
    </w:tblStylePr>
    <w:tblStylePr w:type="firstCol">
      <w:rPr>
        <w:b/>
        <w:bCs/>
      </w:rPr>
    </w:tblStylePr>
    <w:tblStylePr w:type="lastCol">
      <w:rPr>
        <w:b/>
        <w:bCs/>
      </w:rPr>
      <w:tblPr/>
      <w:tcPr>
        <w:tcBorders>
          <w:top w:val="single" w:sz="8" w:space="0" w:color="A02B93" w:themeColor="accent5"/>
          <w:bottom w:val="single" w:sz="8" w:space="0" w:color="A02B93" w:themeColor="accent5"/>
        </w:tcBorders>
      </w:tcPr>
    </w:tblStylePr>
    <w:tblStylePr w:type="band1Vert">
      <w:tblPr/>
      <w:tcPr>
        <w:shd w:val="clear" w:color="auto" w:fill="EFC3E9" w:themeFill="accent5" w:themeFillTint="3F"/>
      </w:tcPr>
    </w:tblStylePr>
    <w:tblStylePr w:type="band1Horz">
      <w:tblPr/>
      <w:tcPr>
        <w:shd w:val="clear" w:color="auto" w:fill="EFC3E9"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4EA72E" w:themeColor="accent6"/>
        <w:bottom w:val="single" w:sz="8" w:space="0" w:color="4EA72E" w:themeColor="accent6"/>
      </w:tblBorders>
    </w:tblPr>
    <w:tblStylePr w:type="firstRow">
      <w:rPr>
        <w:rFonts w:asciiTheme="majorHAnsi" w:eastAsiaTheme="majorEastAsia" w:hAnsiTheme="majorHAnsi" w:cstheme="majorBidi"/>
      </w:rPr>
      <w:tblPr/>
      <w:tcPr>
        <w:tcBorders>
          <w:top w:val="nil"/>
          <w:bottom w:val="single" w:sz="8" w:space="0" w:color="4EA72E" w:themeColor="accent6"/>
        </w:tcBorders>
      </w:tcPr>
    </w:tblStylePr>
    <w:tblStylePr w:type="lastRow">
      <w:rPr>
        <w:b/>
        <w:bCs/>
        <w:color w:val="0E2841" w:themeColor="text2"/>
      </w:rPr>
      <w:tblPr/>
      <w:tcPr>
        <w:tcBorders>
          <w:top w:val="single" w:sz="8" w:space="0" w:color="4EA72E" w:themeColor="accent6"/>
          <w:bottom w:val="single" w:sz="8" w:space="0" w:color="4EA72E" w:themeColor="accent6"/>
        </w:tcBorders>
      </w:tcPr>
    </w:tblStylePr>
    <w:tblStylePr w:type="firstCol">
      <w:rPr>
        <w:b/>
        <w:bCs/>
      </w:rPr>
    </w:tblStylePr>
    <w:tblStylePr w:type="lastCol">
      <w:rPr>
        <w:b/>
        <w:bCs/>
      </w:rPr>
      <w:tblPr/>
      <w:tcPr>
        <w:tcBorders>
          <w:top w:val="single" w:sz="8" w:space="0" w:color="4EA72E" w:themeColor="accent6"/>
          <w:bottom w:val="single" w:sz="8" w:space="0" w:color="4EA72E" w:themeColor="accent6"/>
        </w:tcBorders>
      </w:tcPr>
    </w:tblStylePr>
    <w:tblStylePr w:type="band1Vert">
      <w:tblPr/>
      <w:tcPr>
        <w:shd w:val="clear" w:color="auto" w:fill="D0EFC5" w:themeFill="accent6" w:themeFillTint="3F"/>
      </w:tcPr>
    </w:tblStylePr>
    <w:tblStylePr w:type="band1Horz">
      <w:tblPr/>
      <w:tcPr>
        <w:shd w:val="clear" w:color="auto" w:fill="D0EFC5"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rPr>
        <w:sz w:val="24"/>
        <w:szCs w:val="24"/>
      </w:rPr>
      <w:tblPr/>
      <w:tcPr>
        <w:tcBorders>
          <w:top w:val="nil"/>
          <w:left w:val="nil"/>
          <w:bottom w:val="single" w:sz="24" w:space="0" w:color="156082" w:themeColor="accent1"/>
          <w:right w:val="nil"/>
          <w:insideH w:val="nil"/>
          <w:insideV w:val="nil"/>
        </w:tcBorders>
        <w:shd w:val="clear" w:color="auto" w:fill="FFFFFF" w:themeFill="background1"/>
      </w:tcPr>
    </w:tblStylePr>
    <w:tblStylePr w:type="lastRow">
      <w:tblPr/>
      <w:tcPr>
        <w:tcBorders>
          <w:top w:val="single" w:sz="8" w:space="0" w:color="156082"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56082" w:themeColor="accent1"/>
          <w:insideH w:val="nil"/>
          <w:insideV w:val="nil"/>
        </w:tcBorders>
        <w:shd w:val="clear" w:color="auto" w:fill="FFFFFF" w:themeFill="background1"/>
      </w:tcPr>
    </w:tblStylePr>
    <w:tblStylePr w:type="lastCol">
      <w:tblPr/>
      <w:tcPr>
        <w:tcBorders>
          <w:top w:val="nil"/>
          <w:left w:val="single" w:sz="8" w:space="0" w:color="156082"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top w:val="nil"/>
          <w:bottom w:val="nil"/>
          <w:insideH w:val="nil"/>
          <w:insideV w:val="nil"/>
        </w:tcBorders>
        <w:shd w:val="clear" w:color="auto" w:fill="B2DEF2"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rPr>
        <w:sz w:val="24"/>
        <w:szCs w:val="24"/>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tblPr/>
      <w:tcPr>
        <w:tcBorders>
          <w:top w:val="single" w:sz="8" w:space="0" w:color="E97132"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E97132" w:themeColor="accent2"/>
          <w:insideH w:val="nil"/>
          <w:insideV w:val="nil"/>
        </w:tcBorders>
        <w:shd w:val="clear" w:color="auto" w:fill="FFFFFF" w:themeFill="background1"/>
      </w:tcPr>
    </w:tblStylePr>
    <w:tblStylePr w:type="lastCol">
      <w:tblPr/>
      <w:tcPr>
        <w:tcBorders>
          <w:top w:val="nil"/>
          <w:left w:val="single" w:sz="8" w:space="0" w:color="E97132"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top w:val="nil"/>
          <w:bottom w:val="nil"/>
          <w:insideH w:val="nil"/>
          <w:insideV w:val="nil"/>
        </w:tcBorders>
        <w:shd w:val="clear" w:color="auto" w:fill="F9DBCC"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rPr>
        <w:sz w:val="24"/>
        <w:szCs w:val="24"/>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tblPr/>
      <w:tcPr>
        <w:tcBorders>
          <w:top w:val="single" w:sz="8" w:space="0" w:color="196B24"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96B24" w:themeColor="accent3"/>
          <w:insideH w:val="nil"/>
          <w:insideV w:val="nil"/>
        </w:tcBorders>
        <w:shd w:val="clear" w:color="auto" w:fill="FFFFFF" w:themeFill="background1"/>
      </w:tcPr>
    </w:tblStylePr>
    <w:tblStylePr w:type="lastCol">
      <w:tblPr/>
      <w:tcPr>
        <w:tcBorders>
          <w:top w:val="nil"/>
          <w:left w:val="single" w:sz="8" w:space="0" w:color="196B24"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top w:val="nil"/>
          <w:bottom w:val="nil"/>
          <w:insideH w:val="nil"/>
          <w:insideV w:val="nil"/>
        </w:tcBorders>
        <w:shd w:val="clear" w:color="auto" w:fill="B3EDBA"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rPr>
        <w:sz w:val="24"/>
        <w:szCs w:val="24"/>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tblPr/>
      <w:tcPr>
        <w:tcBorders>
          <w:top w:val="single" w:sz="8" w:space="0" w:color="0F9ED5"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F9ED5" w:themeColor="accent4"/>
          <w:insideH w:val="nil"/>
          <w:insideV w:val="nil"/>
        </w:tcBorders>
        <w:shd w:val="clear" w:color="auto" w:fill="FFFFFF" w:themeFill="background1"/>
      </w:tcPr>
    </w:tblStylePr>
    <w:tblStylePr w:type="lastCol">
      <w:tblPr/>
      <w:tcPr>
        <w:tcBorders>
          <w:top w:val="nil"/>
          <w:left w:val="single" w:sz="8" w:space="0" w:color="0F9ED5"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top w:val="nil"/>
          <w:bottom w:val="nil"/>
          <w:insideH w:val="nil"/>
          <w:insideV w:val="nil"/>
        </w:tcBorders>
        <w:shd w:val="clear" w:color="auto" w:fill="BDE9FA"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rPr>
        <w:sz w:val="24"/>
        <w:szCs w:val="24"/>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tblPr/>
      <w:tcPr>
        <w:tcBorders>
          <w:top w:val="single" w:sz="8" w:space="0" w:color="A02B93"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02B93" w:themeColor="accent5"/>
          <w:insideH w:val="nil"/>
          <w:insideV w:val="nil"/>
        </w:tcBorders>
        <w:shd w:val="clear" w:color="auto" w:fill="FFFFFF" w:themeFill="background1"/>
      </w:tcPr>
    </w:tblStylePr>
    <w:tblStylePr w:type="lastCol">
      <w:tblPr/>
      <w:tcPr>
        <w:tcBorders>
          <w:top w:val="nil"/>
          <w:left w:val="single" w:sz="8" w:space="0" w:color="A02B93"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top w:val="nil"/>
          <w:bottom w:val="nil"/>
          <w:insideH w:val="nil"/>
          <w:insideV w:val="nil"/>
        </w:tcBorders>
        <w:shd w:val="clear" w:color="auto" w:fill="EFC3E9"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rPr>
        <w:sz w:val="24"/>
        <w:szCs w:val="24"/>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tblPr/>
      <w:tcPr>
        <w:tcBorders>
          <w:top w:val="single" w:sz="8" w:space="0" w:color="4EA72E"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EA72E" w:themeColor="accent6"/>
          <w:insideH w:val="nil"/>
          <w:insideV w:val="nil"/>
        </w:tcBorders>
        <w:shd w:val="clear" w:color="auto" w:fill="FFFFFF" w:themeFill="background1"/>
      </w:tcPr>
    </w:tblStylePr>
    <w:tblStylePr w:type="lastCol">
      <w:tblPr/>
      <w:tcPr>
        <w:tcBorders>
          <w:top w:val="nil"/>
          <w:left w:val="single" w:sz="8" w:space="0" w:color="4EA72E"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top w:val="nil"/>
          <w:bottom w:val="nil"/>
          <w:insideH w:val="nil"/>
          <w:insideV w:val="nil"/>
        </w:tcBorders>
        <w:shd w:val="clear" w:color="auto" w:fill="D0EFC5"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insideV w:val="single" w:sz="8" w:space="0" w:color="2198CF" w:themeColor="accent1" w:themeTint="BF"/>
      </w:tblBorders>
    </w:tblPr>
    <w:tcPr>
      <w:shd w:val="clear" w:color="auto" w:fill="B2DEF2" w:themeFill="accent1" w:themeFillTint="3F"/>
    </w:tcPr>
    <w:tblStylePr w:type="firstRow">
      <w:rPr>
        <w:b/>
        <w:bCs/>
      </w:rPr>
    </w:tblStylePr>
    <w:tblStylePr w:type="lastRow">
      <w:rPr>
        <w:b/>
        <w:bCs/>
      </w:rPr>
      <w:tblPr/>
      <w:tcPr>
        <w:tcBorders>
          <w:top w:val="single" w:sz="18" w:space="0" w:color="2198CF" w:themeColor="accent1" w:themeTint="BF"/>
        </w:tcBorders>
      </w:tcPr>
    </w:tblStylePr>
    <w:tblStylePr w:type="firstCol">
      <w:rPr>
        <w:b/>
        <w:bCs/>
      </w:rPr>
    </w:tblStylePr>
    <w:tblStylePr w:type="lastCol">
      <w:rPr>
        <w:b/>
        <w:bCs/>
      </w:r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insideV w:val="single" w:sz="8" w:space="0" w:color="EE9465" w:themeColor="accent2" w:themeTint="BF"/>
      </w:tblBorders>
    </w:tblPr>
    <w:tcPr>
      <w:shd w:val="clear" w:color="auto" w:fill="F9DBCC" w:themeFill="accent2" w:themeFillTint="3F"/>
    </w:tcPr>
    <w:tblStylePr w:type="firstRow">
      <w:rPr>
        <w:b/>
        <w:bCs/>
      </w:rPr>
    </w:tblStylePr>
    <w:tblStylePr w:type="lastRow">
      <w:rPr>
        <w:b/>
        <w:bCs/>
      </w:rPr>
      <w:tblPr/>
      <w:tcPr>
        <w:tcBorders>
          <w:top w:val="single" w:sz="18" w:space="0" w:color="EE9465" w:themeColor="accent2" w:themeTint="BF"/>
        </w:tcBorders>
      </w:tcPr>
    </w:tblStylePr>
    <w:tblStylePr w:type="firstCol">
      <w:rPr>
        <w:b/>
        <w:bCs/>
      </w:rPr>
    </w:tblStylePr>
    <w:tblStylePr w:type="lastCol">
      <w:rPr>
        <w:b/>
        <w:bCs/>
      </w:r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insideV w:val="single" w:sz="8" w:space="0" w:color="2BB73D" w:themeColor="accent3" w:themeTint="BF"/>
      </w:tblBorders>
    </w:tblPr>
    <w:tcPr>
      <w:shd w:val="clear" w:color="auto" w:fill="B3EDBA" w:themeFill="accent3" w:themeFillTint="3F"/>
    </w:tcPr>
    <w:tblStylePr w:type="firstRow">
      <w:rPr>
        <w:b/>
        <w:bCs/>
      </w:rPr>
    </w:tblStylePr>
    <w:tblStylePr w:type="lastRow">
      <w:rPr>
        <w:b/>
        <w:bCs/>
      </w:rPr>
      <w:tblPr/>
      <w:tcPr>
        <w:tcBorders>
          <w:top w:val="single" w:sz="18" w:space="0" w:color="2BB73D" w:themeColor="accent3" w:themeTint="BF"/>
        </w:tcBorders>
      </w:tcPr>
    </w:tblStylePr>
    <w:tblStylePr w:type="firstCol">
      <w:rPr>
        <w:b/>
        <w:bCs/>
      </w:rPr>
    </w:tblStylePr>
    <w:tblStylePr w:type="lastCol">
      <w:rPr>
        <w:b/>
        <w:bCs/>
      </w:r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insideV w:val="single" w:sz="8" w:space="0" w:color="39BEF1" w:themeColor="accent4" w:themeTint="BF"/>
      </w:tblBorders>
    </w:tblPr>
    <w:tcPr>
      <w:shd w:val="clear" w:color="auto" w:fill="BDE9FA" w:themeFill="accent4" w:themeFillTint="3F"/>
    </w:tcPr>
    <w:tblStylePr w:type="firstRow">
      <w:rPr>
        <w:b/>
        <w:bCs/>
      </w:rPr>
    </w:tblStylePr>
    <w:tblStylePr w:type="lastRow">
      <w:rPr>
        <w:b/>
        <w:bCs/>
      </w:rPr>
      <w:tblPr/>
      <w:tcPr>
        <w:tcBorders>
          <w:top w:val="single" w:sz="18" w:space="0" w:color="39BEF1" w:themeColor="accent4" w:themeTint="BF"/>
        </w:tcBorders>
      </w:tcPr>
    </w:tblStylePr>
    <w:tblStylePr w:type="firstCol">
      <w:rPr>
        <w:b/>
        <w:bCs/>
      </w:rPr>
    </w:tblStylePr>
    <w:tblStylePr w:type="lastCol">
      <w:rPr>
        <w:b/>
        <w:bCs/>
      </w:r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insideV w:val="single" w:sz="8" w:space="0" w:color="CE49BF" w:themeColor="accent5" w:themeTint="BF"/>
      </w:tblBorders>
    </w:tblPr>
    <w:tcPr>
      <w:shd w:val="clear" w:color="auto" w:fill="EFC3E9" w:themeFill="accent5" w:themeFillTint="3F"/>
    </w:tcPr>
    <w:tblStylePr w:type="firstRow">
      <w:rPr>
        <w:b/>
        <w:bCs/>
      </w:rPr>
    </w:tblStylePr>
    <w:tblStylePr w:type="lastRow">
      <w:rPr>
        <w:b/>
        <w:bCs/>
      </w:rPr>
      <w:tblPr/>
      <w:tcPr>
        <w:tcBorders>
          <w:top w:val="single" w:sz="18" w:space="0" w:color="CE49BF" w:themeColor="accent5" w:themeTint="BF"/>
        </w:tcBorders>
      </w:tcPr>
    </w:tblStylePr>
    <w:tblStylePr w:type="firstCol">
      <w:rPr>
        <w:b/>
        <w:bCs/>
      </w:rPr>
    </w:tblStylePr>
    <w:tblStylePr w:type="lastCol">
      <w:rPr>
        <w:b/>
        <w:bCs/>
      </w:r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insideV w:val="single" w:sz="8" w:space="0" w:color="71CF50" w:themeColor="accent6" w:themeTint="BF"/>
      </w:tblBorders>
    </w:tblPr>
    <w:tcPr>
      <w:shd w:val="clear" w:color="auto" w:fill="D0EFC5" w:themeFill="accent6" w:themeFillTint="3F"/>
    </w:tcPr>
    <w:tblStylePr w:type="firstRow">
      <w:rPr>
        <w:b/>
        <w:bCs/>
      </w:rPr>
    </w:tblStylePr>
    <w:tblStylePr w:type="lastRow">
      <w:rPr>
        <w:b/>
        <w:bCs/>
      </w:rPr>
      <w:tblPr/>
      <w:tcPr>
        <w:tcBorders>
          <w:top w:val="single" w:sz="18" w:space="0" w:color="71CF50" w:themeColor="accent6" w:themeTint="BF"/>
        </w:tcBorders>
      </w:tcPr>
    </w:tblStylePr>
    <w:tblStylePr w:type="firstCol">
      <w:rPr>
        <w:b/>
        <w:bCs/>
      </w:rPr>
    </w:tblStylePr>
    <w:tblStylePr w:type="lastCol">
      <w:rPr>
        <w:b/>
        <w:bCs/>
      </w:r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cPr>
      <w:shd w:val="clear" w:color="auto" w:fill="B2DEF2" w:themeFill="accent1" w:themeFillTint="3F"/>
    </w:tcPr>
    <w:tblStylePr w:type="firstRow">
      <w:rPr>
        <w:b/>
        <w:bCs/>
        <w:color w:val="000000" w:themeColor="text1"/>
      </w:rPr>
      <w:tblPr/>
      <w:tcPr>
        <w:shd w:val="clear" w:color="auto" w:fill="E0F2FA"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E4F5" w:themeFill="accent1" w:themeFillTint="33"/>
      </w:tcPr>
    </w:tblStylePr>
    <w:tblStylePr w:type="band1Vert">
      <w:tblPr/>
      <w:tcPr>
        <w:shd w:val="clear" w:color="auto" w:fill="64BDE6" w:themeFill="accent1" w:themeFillTint="7F"/>
      </w:tcPr>
    </w:tblStylePr>
    <w:tblStylePr w:type="band1Horz">
      <w:tblPr/>
      <w:tcPr>
        <w:tcBorders>
          <w:insideH w:val="single" w:sz="6" w:space="0" w:color="156082" w:themeColor="accent1"/>
          <w:insideV w:val="single" w:sz="6" w:space="0" w:color="156082" w:themeColor="accent1"/>
        </w:tcBorders>
        <w:shd w:val="clear" w:color="auto" w:fill="64BDE6"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cPr>
      <w:shd w:val="clear" w:color="auto" w:fill="F9DBCC" w:themeFill="accent2" w:themeFillTint="3F"/>
    </w:tcPr>
    <w:tblStylePr w:type="firstRow">
      <w:rPr>
        <w:b/>
        <w:bCs/>
        <w:color w:val="000000" w:themeColor="text1"/>
      </w:rPr>
      <w:tblPr/>
      <w:tcPr>
        <w:shd w:val="clear" w:color="auto" w:fill="FCF0EA"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AE2D5" w:themeFill="accent2" w:themeFillTint="33"/>
      </w:tcPr>
    </w:tblStylePr>
    <w:tblStylePr w:type="band1Vert">
      <w:tblPr/>
      <w:tcPr>
        <w:shd w:val="clear" w:color="auto" w:fill="F4B798" w:themeFill="accent2" w:themeFillTint="7F"/>
      </w:tcPr>
    </w:tblStylePr>
    <w:tblStylePr w:type="band1Horz">
      <w:tblPr/>
      <w:tcPr>
        <w:tcBorders>
          <w:insideH w:val="single" w:sz="6" w:space="0" w:color="E97132" w:themeColor="accent2"/>
          <w:insideV w:val="single" w:sz="6" w:space="0" w:color="E97132" w:themeColor="accent2"/>
        </w:tcBorders>
        <w:shd w:val="clear" w:color="auto" w:fill="F4B798"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cPr>
      <w:shd w:val="clear" w:color="auto" w:fill="B3EDBA" w:themeFill="accent3" w:themeFillTint="3F"/>
    </w:tcPr>
    <w:tblStylePr w:type="firstRow">
      <w:rPr>
        <w:b/>
        <w:bCs/>
        <w:color w:val="000000" w:themeColor="text1"/>
      </w:rPr>
      <w:tblPr/>
      <w:tcPr>
        <w:shd w:val="clear" w:color="auto" w:fill="E0F8E3"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F0C7" w:themeFill="accent3" w:themeFillTint="33"/>
      </w:tcPr>
    </w:tblStylePr>
    <w:tblStylePr w:type="band1Vert">
      <w:tblPr/>
      <w:tcPr>
        <w:shd w:val="clear" w:color="auto" w:fill="66DB75" w:themeFill="accent3" w:themeFillTint="7F"/>
      </w:tcPr>
    </w:tblStylePr>
    <w:tblStylePr w:type="band1Horz">
      <w:tblPr/>
      <w:tcPr>
        <w:tcBorders>
          <w:insideH w:val="single" w:sz="6" w:space="0" w:color="196B24" w:themeColor="accent3"/>
          <w:insideV w:val="single" w:sz="6" w:space="0" w:color="196B24" w:themeColor="accent3"/>
        </w:tcBorders>
        <w:shd w:val="clear" w:color="auto" w:fill="66DB75"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cPr>
      <w:shd w:val="clear" w:color="auto" w:fill="BDE9FA" w:themeFill="accent4" w:themeFillTint="3F"/>
    </w:tcPr>
    <w:tblStylePr w:type="firstRow">
      <w:rPr>
        <w:b/>
        <w:bCs/>
        <w:color w:val="000000" w:themeColor="text1"/>
      </w:rPr>
      <w:tblPr/>
      <w:tcPr>
        <w:shd w:val="clear" w:color="auto" w:fill="E5F6FD"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AEDFB" w:themeFill="accent4" w:themeFillTint="33"/>
      </w:tcPr>
    </w:tblStylePr>
    <w:tblStylePr w:type="band1Vert">
      <w:tblPr/>
      <w:tcPr>
        <w:shd w:val="clear" w:color="auto" w:fill="7BD3F5" w:themeFill="accent4" w:themeFillTint="7F"/>
      </w:tcPr>
    </w:tblStylePr>
    <w:tblStylePr w:type="band1Horz">
      <w:tblPr/>
      <w:tcPr>
        <w:tcBorders>
          <w:insideH w:val="single" w:sz="6" w:space="0" w:color="0F9ED5" w:themeColor="accent4"/>
          <w:insideV w:val="single" w:sz="6" w:space="0" w:color="0F9ED5" w:themeColor="accent4"/>
        </w:tcBorders>
        <w:shd w:val="clear" w:color="auto" w:fill="7BD3F5"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cPr>
      <w:shd w:val="clear" w:color="auto" w:fill="EFC3E9" w:themeFill="accent5" w:themeFillTint="3F"/>
    </w:tcPr>
    <w:tblStylePr w:type="firstRow">
      <w:rPr>
        <w:b/>
        <w:bCs/>
        <w:color w:val="000000" w:themeColor="text1"/>
      </w:rPr>
      <w:tblPr/>
      <w:tcPr>
        <w:shd w:val="clear" w:color="auto" w:fill="F8E7F6"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CEED" w:themeFill="accent5" w:themeFillTint="33"/>
      </w:tcPr>
    </w:tblStylePr>
    <w:tblStylePr w:type="band1Vert">
      <w:tblPr/>
      <w:tcPr>
        <w:shd w:val="clear" w:color="auto" w:fill="DE86D4" w:themeFill="accent5" w:themeFillTint="7F"/>
      </w:tcPr>
    </w:tblStylePr>
    <w:tblStylePr w:type="band1Horz">
      <w:tblPr/>
      <w:tcPr>
        <w:tcBorders>
          <w:insideH w:val="single" w:sz="6" w:space="0" w:color="A02B93" w:themeColor="accent5"/>
          <w:insideV w:val="single" w:sz="6" w:space="0" w:color="A02B93" w:themeColor="accent5"/>
        </w:tcBorders>
        <w:shd w:val="clear" w:color="auto" w:fill="DE86D4"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cPr>
      <w:shd w:val="clear" w:color="auto" w:fill="D0EFC5" w:themeFill="accent6" w:themeFillTint="3F"/>
    </w:tcPr>
    <w:tblStylePr w:type="firstRow">
      <w:rPr>
        <w:b/>
        <w:bCs/>
        <w:color w:val="000000" w:themeColor="text1"/>
      </w:rPr>
      <w:tblPr/>
      <w:tcPr>
        <w:shd w:val="clear" w:color="auto" w:fill="ECF8E8"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9F2D0" w:themeFill="accent6" w:themeFillTint="33"/>
      </w:tcPr>
    </w:tblStylePr>
    <w:tblStylePr w:type="band1Vert">
      <w:tblPr/>
      <w:tcPr>
        <w:shd w:val="clear" w:color="auto" w:fill="A0DF8A" w:themeFill="accent6" w:themeFillTint="7F"/>
      </w:tcPr>
    </w:tblStylePr>
    <w:tblStylePr w:type="band1Horz">
      <w:tblPr/>
      <w:tcPr>
        <w:tcBorders>
          <w:insideH w:val="single" w:sz="6" w:space="0" w:color="4EA72E" w:themeColor="accent6"/>
          <w:insideV w:val="single" w:sz="6" w:space="0" w:color="4EA72E" w:themeColor="accent6"/>
        </w:tcBorders>
        <w:shd w:val="clear" w:color="auto" w:fill="A0DF8A"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2DEF2"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56082"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56082"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4BDE6"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4BDE6"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9DBCC"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97132"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97132"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4B798"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4B798"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3EDBA"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96B24"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96B24"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6DB75"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6DB75"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DE9FA"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F9ED5"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F9ED5"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7BD3F5"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7BD3F5"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C3E9"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02B93"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02B93"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E86D4"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E86D4"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0EFC5"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EA72E"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EA72E"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0DF8A"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0DF8A"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156082"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A2F4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0F476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0F4761" w:themeFill="accent1" w:themeFillShade="BF"/>
      </w:tcPr>
    </w:tblStylePr>
    <w:tblStylePr w:type="band1Vert">
      <w:tblPr/>
      <w:tcPr>
        <w:tcBorders>
          <w:top w:val="nil"/>
          <w:left w:val="nil"/>
          <w:bottom w:val="nil"/>
          <w:right w:val="nil"/>
          <w:insideH w:val="nil"/>
          <w:insideV w:val="nil"/>
        </w:tcBorders>
        <w:shd w:val="clear" w:color="auto" w:fill="0F4761" w:themeFill="accent1" w:themeFillShade="BF"/>
      </w:tcPr>
    </w:tblStylePr>
    <w:tblStylePr w:type="band1Horz">
      <w:tblPr/>
      <w:tcPr>
        <w:tcBorders>
          <w:top w:val="nil"/>
          <w:left w:val="nil"/>
          <w:bottom w:val="nil"/>
          <w:right w:val="nil"/>
          <w:insideH w:val="nil"/>
          <w:insideV w:val="nil"/>
        </w:tcBorders>
        <w:shd w:val="clear" w:color="auto" w:fill="0F476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E97132"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340D"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BF4E1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BF4E14" w:themeFill="accent2" w:themeFillShade="BF"/>
      </w:tcPr>
    </w:tblStylePr>
    <w:tblStylePr w:type="band1Vert">
      <w:tblPr/>
      <w:tcPr>
        <w:tcBorders>
          <w:top w:val="nil"/>
          <w:left w:val="nil"/>
          <w:bottom w:val="nil"/>
          <w:right w:val="nil"/>
          <w:insideH w:val="nil"/>
          <w:insideV w:val="nil"/>
        </w:tcBorders>
        <w:shd w:val="clear" w:color="auto" w:fill="BF4E14" w:themeFill="accent2" w:themeFillShade="BF"/>
      </w:tcPr>
    </w:tblStylePr>
    <w:tblStylePr w:type="band1Horz">
      <w:tblPr/>
      <w:tcPr>
        <w:tcBorders>
          <w:top w:val="nil"/>
          <w:left w:val="nil"/>
          <w:bottom w:val="nil"/>
          <w:right w:val="nil"/>
          <w:insideH w:val="nil"/>
          <w:insideV w:val="nil"/>
        </w:tcBorders>
        <w:shd w:val="clear" w:color="auto" w:fill="BF4E1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196B24"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C3511"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124F1A"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124F1A" w:themeFill="accent3" w:themeFillShade="BF"/>
      </w:tcPr>
    </w:tblStylePr>
    <w:tblStylePr w:type="band1Vert">
      <w:tblPr/>
      <w:tcPr>
        <w:tcBorders>
          <w:top w:val="nil"/>
          <w:left w:val="nil"/>
          <w:bottom w:val="nil"/>
          <w:right w:val="nil"/>
          <w:insideH w:val="nil"/>
          <w:insideV w:val="nil"/>
        </w:tcBorders>
        <w:shd w:val="clear" w:color="auto" w:fill="124F1A" w:themeFill="accent3" w:themeFillShade="BF"/>
      </w:tcPr>
    </w:tblStylePr>
    <w:tblStylePr w:type="band1Horz">
      <w:tblPr/>
      <w:tcPr>
        <w:tcBorders>
          <w:top w:val="nil"/>
          <w:left w:val="nil"/>
          <w:bottom w:val="nil"/>
          <w:right w:val="nil"/>
          <w:insideH w:val="nil"/>
          <w:insideV w:val="nil"/>
        </w:tcBorders>
        <w:shd w:val="clear" w:color="auto" w:fill="124F1A"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0F9ED5"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74E69"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0B769F"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0B769F" w:themeFill="accent4" w:themeFillShade="BF"/>
      </w:tcPr>
    </w:tblStylePr>
    <w:tblStylePr w:type="band1Vert">
      <w:tblPr/>
      <w:tcPr>
        <w:tcBorders>
          <w:top w:val="nil"/>
          <w:left w:val="nil"/>
          <w:bottom w:val="nil"/>
          <w:right w:val="nil"/>
          <w:insideH w:val="nil"/>
          <w:insideV w:val="nil"/>
        </w:tcBorders>
        <w:shd w:val="clear" w:color="auto" w:fill="0B769F" w:themeFill="accent4" w:themeFillShade="BF"/>
      </w:tcPr>
    </w:tblStylePr>
    <w:tblStylePr w:type="band1Horz">
      <w:tblPr/>
      <w:tcPr>
        <w:tcBorders>
          <w:top w:val="nil"/>
          <w:left w:val="nil"/>
          <w:bottom w:val="nil"/>
          <w:right w:val="nil"/>
          <w:insideH w:val="nil"/>
          <w:insideV w:val="nil"/>
        </w:tcBorders>
        <w:shd w:val="clear" w:color="auto" w:fill="0B769F"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A02B93"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F1548"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77206D"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77206D" w:themeFill="accent5" w:themeFillShade="BF"/>
      </w:tcPr>
    </w:tblStylePr>
    <w:tblStylePr w:type="band1Vert">
      <w:tblPr/>
      <w:tcPr>
        <w:tcBorders>
          <w:top w:val="nil"/>
          <w:left w:val="nil"/>
          <w:bottom w:val="nil"/>
          <w:right w:val="nil"/>
          <w:insideH w:val="nil"/>
          <w:insideV w:val="nil"/>
        </w:tcBorders>
        <w:shd w:val="clear" w:color="auto" w:fill="77206D" w:themeFill="accent5" w:themeFillShade="BF"/>
      </w:tcPr>
    </w:tblStylePr>
    <w:tblStylePr w:type="band1Horz">
      <w:tblPr/>
      <w:tcPr>
        <w:tcBorders>
          <w:top w:val="nil"/>
          <w:left w:val="nil"/>
          <w:bottom w:val="nil"/>
          <w:right w:val="nil"/>
          <w:insideH w:val="nil"/>
          <w:insideV w:val="nil"/>
        </w:tcBorders>
        <w:shd w:val="clear" w:color="auto" w:fill="77206D"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4EA72E"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65317"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3A7C22"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3A7C22" w:themeFill="accent6" w:themeFillShade="BF"/>
      </w:tcPr>
    </w:tblStylePr>
    <w:tblStylePr w:type="band1Vert">
      <w:tblPr/>
      <w:tcPr>
        <w:tcBorders>
          <w:top w:val="nil"/>
          <w:left w:val="nil"/>
          <w:bottom w:val="nil"/>
          <w:right w:val="nil"/>
          <w:insideH w:val="nil"/>
          <w:insideV w:val="nil"/>
        </w:tcBorders>
        <w:shd w:val="clear" w:color="auto" w:fill="3A7C22" w:themeFill="accent6" w:themeFillShade="BF"/>
      </w:tcPr>
    </w:tblStylePr>
    <w:tblStylePr w:type="band1Horz">
      <w:tblPr/>
      <w:tcPr>
        <w:tcBorders>
          <w:top w:val="nil"/>
          <w:left w:val="nil"/>
          <w:bottom w:val="nil"/>
          <w:right w:val="nil"/>
          <w:insideH w:val="nil"/>
          <w:insideV w:val="nil"/>
        </w:tcBorders>
        <w:shd w:val="clear" w:color="auto" w:fill="3A7C22"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156082" w:themeColor="accent1"/>
        <w:bottom w:val="single" w:sz="4" w:space="0" w:color="156082" w:themeColor="accent1"/>
        <w:right w:val="single" w:sz="4" w:space="0" w:color="156082" w:themeColor="accent1"/>
        <w:insideH w:val="single" w:sz="4" w:space="0" w:color="FFFFFF" w:themeColor="background1"/>
        <w:insideV w:val="single" w:sz="4" w:space="0" w:color="FFFFFF" w:themeColor="background1"/>
      </w:tblBorders>
    </w:tblPr>
    <w:tcPr>
      <w:shd w:val="clear" w:color="auto" w:fill="E0F2FA" w:themeFill="accen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C394D" w:themeFill="accent1" w:themeFillShade="99"/>
      </w:tcPr>
    </w:tblStylePr>
    <w:tblStylePr w:type="firstCol">
      <w:rPr>
        <w:color w:val="FFFFFF" w:themeColor="background1"/>
      </w:rPr>
      <w:tblPr/>
      <w:tcPr>
        <w:tcBorders>
          <w:top w:val="nil"/>
          <w:left w:val="nil"/>
          <w:bottom w:val="nil"/>
          <w:right w:val="nil"/>
          <w:insideH w:val="single" w:sz="4" w:space="0" w:color="0C394D" w:themeColor="accent1" w:themeShade="99"/>
          <w:insideV w:val="nil"/>
        </w:tcBorders>
        <w:shd w:val="clear" w:color="auto" w:fill="0C394D"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C394D" w:themeFill="accent1" w:themeFillShade="99"/>
      </w:tcPr>
    </w:tblStylePr>
    <w:tblStylePr w:type="band1Vert">
      <w:tblPr/>
      <w:tcPr>
        <w:shd w:val="clear" w:color="auto" w:fill="83CAEB" w:themeFill="accent1" w:themeFillTint="66"/>
      </w:tcPr>
    </w:tblStylePr>
    <w:tblStylePr w:type="band1Horz">
      <w:tblPr/>
      <w:tcPr>
        <w:shd w:val="clear" w:color="auto" w:fill="64BDE6"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E97132" w:themeColor="accent2"/>
        <w:bottom w:val="single" w:sz="4" w:space="0" w:color="E97132" w:themeColor="accent2"/>
        <w:right w:val="single" w:sz="4" w:space="0" w:color="E97132" w:themeColor="accent2"/>
        <w:insideH w:val="single" w:sz="4" w:space="0" w:color="FFFFFF" w:themeColor="background1"/>
        <w:insideV w:val="single" w:sz="4" w:space="0" w:color="FFFFFF" w:themeColor="background1"/>
      </w:tblBorders>
    </w:tblPr>
    <w:tcPr>
      <w:shd w:val="clear" w:color="auto" w:fill="FCF0EA" w:themeFill="accent2"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3F10" w:themeFill="accent2" w:themeFillShade="99"/>
      </w:tcPr>
    </w:tblStylePr>
    <w:tblStylePr w:type="firstCol">
      <w:rPr>
        <w:color w:val="FFFFFF" w:themeColor="background1"/>
      </w:rPr>
      <w:tblPr/>
      <w:tcPr>
        <w:tcBorders>
          <w:top w:val="nil"/>
          <w:left w:val="nil"/>
          <w:bottom w:val="nil"/>
          <w:right w:val="nil"/>
          <w:insideH w:val="single" w:sz="4" w:space="0" w:color="993F10" w:themeColor="accent2" w:themeShade="99"/>
          <w:insideV w:val="nil"/>
        </w:tcBorders>
        <w:shd w:val="clear" w:color="auto" w:fill="993F10"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93F10" w:themeFill="accent2" w:themeFillShade="99"/>
      </w:tcPr>
    </w:tblStylePr>
    <w:tblStylePr w:type="band1Vert">
      <w:tblPr/>
      <w:tcPr>
        <w:shd w:val="clear" w:color="auto" w:fill="F6C5AC" w:themeFill="accent2" w:themeFillTint="66"/>
      </w:tcPr>
    </w:tblStylePr>
    <w:tblStylePr w:type="band1Horz">
      <w:tblPr/>
      <w:tcPr>
        <w:shd w:val="clear" w:color="auto" w:fill="F4B798"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0F9ED5" w:themeColor="accent4"/>
        <w:left w:val="single" w:sz="4" w:space="0" w:color="196B24" w:themeColor="accent3"/>
        <w:bottom w:val="single" w:sz="4" w:space="0" w:color="196B24" w:themeColor="accent3"/>
        <w:right w:val="single" w:sz="4" w:space="0" w:color="196B24" w:themeColor="accent3"/>
        <w:insideH w:val="single" w:sz="4" w:space="0" w:color="FFFFFF" w:themeColor="background1"/>
        <w:insideV w:val="single" w:sz="4" w:space="0" w:color="FFFFFF" w:themeColor="background1"/>
      </w:tblBorders>
    </w:tblPr>
    <w:tcPr>
      <w:shd w:val="clear" w:color="auto" w:fill="E0F8E3" w:themeFill="accent3" w:themeFillTint="19"/>
    </w:tcPr>
    <w:tblStylePr w:type="firstRow">
      <w:rPr>
        <w:b/>
        <w:bCs/>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F4015" w:themeFill="accent3" w:themeFillShade="99"/>
      </w:tcPr>
    </w:tblStylePr>
    <w:tblStylePr w:type="firstCol">
      <w:rPr>
        <w:color w:val="FFFFFF" w:themeColor="background1"/>
      </w:rPr>
      <w:tblPr/>
      <w:tcPr>
        <w:tcBorders>
          <w:top w:val="nil"/>
          <w:left w:val="nil"/>
          <w:bottom w:val="nil"/>
          <w:right w:val="nil"/>
          <w:insideH w:val="single" w:sz="4" w:space="0" w:color="0F4015" w:themeColor="accent3" w:themeShade="99"/>
          <w:insideV w:val="nil"/>
        </w:tcBorders>
        <w:shd w:val="clear" w:color="auto" w:fill="0F4015"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0F4015" w:themeFill="accent3" w:themeFillShade="99"/>
      </w:tcPr>
    </w:tblStylePr>
    <w:tblStylePr w:type="band1Vert">
      <w:tblPr/>
      <w:tcPr>
        <w:shd w:val="clear" w:color="auto" w:fill="84E290" w:themeFill="accent3" w:themeFillTint="66"/>
      </w:tcPr>
    </w:tblStylePr>
    <w:tblStylePr w:type="band1Horz">
      <w:tblPr/>
      <w:tcPr>
        <w:shd w:val="clear" w:color="auto" w:fill="66DB75"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196B24" w:themeColor="accent3"/>
        <w:left w:val="single" w:sz="4" w:space="0" w:color="0F9ED5" w:themeColor="accent4"/>
        <w:bottom w:val="single" w:sz="4" w:space="0" w:color="0F9ED5" w:themeColor="accent4"/>
        <w:right w:val="single" w:sz="4" w:space="0" w:color="0F9ED5" w:themeColor="accent4"/>
        <w:insideH w:val="single" w:sz="4" w:space="0" w:color="FFFFFF" w:themeColor="background1"/>
        <w:insideV w:val="single" w:sz="4" w:space="0" w:color="FFFFFF" w:themeColor="background1"/>
      </w:tblBorders>
    </w:tblPr>
    <w:tcPr>
      <w:shd w:val="clear" w:color="auto" w:fill="E5F6FD" w:themeFill="accent4" w:themeFillTint="19"/>
    </w:tcPr>
    <w:tblStylePr w:type="firstRow">
      <w:rPr>
        <w:b/>
        <w:bCs/>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95E7F" w:themeFill="accent4" w:themeFillShade="99"/>
      </w:tcPr>
    </w:tblStylePr>
    <w:tblStylePr w:type="firstCol">
      <w:rPr>
        <w:color w:val="FFFFFF" w:themeColor="background1"/>
      </w:rPr>
      <w:tblPr/>
      <w:tcPr>
        <w:tcBorders>
          <w:top w:val="nil"/>
          <w:left w:val="nil"/>
          <w:bottom w:val="nil"/>
          <w:right w:val="nil"/>
          <w:insideH w:val="single" w:sz="4" w:space="0" w:color="095E7F" w:themeColor="accent4" w:themeShade="99"/>
          <w:insideV w:val="nil"/>
        </w:tcBorders>
        <w:shd w:val="clear" w:color="auto" w:fill="095E7F"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095E7F" w:themeFill="accent4" w:themeFillShade="99"/>
      </w:tcPr>
    </w:tblStylePr>
    <w:tblStylePr w:type="band1Vert">
      <w:tblPr/>
      <w:tcPr>
        <w:shd w:val="clear" w:color="auto" w:fill="95DCF7" w:themeFill="accent4" w:themeFillTint="66"/>
      </w:tcPr>
    </w:tblStylePr>
    <w:tblStylePr w:type="band1Horz">
      <w:tblPr/>
      <w:tcPr>
        <w:shd w:val="clear" w:color="auto" w:fill="7BD3F5"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4EA72E" w:themeColor="accent6"/>
        <w:left w:val="single" w:sz="4" w:space="0" w:color="A02B93" w:themeColor="accent5"/>
        <w:bottom w:val="single" w:sz="4" w:space="0" w:color="A02B93" w:themeColor="accent5"/>
        <w:right w:val="single" w:sz="4" w:space="0" w:color="A02B93" w:themeColor="accent5"/>
        <w:insideH w:val="single" w:sz="4" w:space="0" w:color="FFFFFF" w:themeColor="background1"/>
        <w:insideV w:val="single" w:sz="4" w:space="0" w:color="FFFFFF" w:themeColor="background1"/>
      </w:tblBorders>
    </w:tblPr>
    <w:tcPr>
      <w:shd w:val="clear" w:color="auto" w:fill="F8E7F6" w:themeFill="accent5" w:themeFillTint="19"/>
    </w:tcPr>
    <w:tblStylePr w:type="firstRow">
      <w:rPr>
        <w:b/>
        <w:bCs/>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F1957" w:themeFill="accent5" w:themeFillShade="99"/>
      </w:tcPr>
    </w:tblStylePr>
    <w:tblStylePr w:type="firstCol">
      <w:rPr>
        <w:color w:val="FFFFFF" w:themeColor="background1"/>
      </w:rPr>
      <w:tblPr/>
      <w:tcPr>
        <w:tcBorders>
          <w:top w:val="nil"/>
          <w:left w:val="nil"/>
          <w:bottom w:val="nil"/>
          <w:right w:val="nil"/>
          <w:insideH w:val="single" w:sz="4" w:space="0" w:color="5F1957" w:themeColor="accent5" w:themeShade="99"/>
          <w:insideV w:val="nil"/>
        </w:tcBorders>
        <w:shd w:val="clear" w:color="auto" w:fill="5F1957"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5F1957" w:themeFill="accent5" w:themeFillShade="99"/>
      </w:tcPr>
    </w:tblStylePr>
    <w:tblStylePr w:type="band1Vert">
      <w:tblPr/>
      <w:tcPr>
        <w:shd w:val="clear" w:color="auto" w:fill="E59EDC" w:themeFill="accent5" w:themeFillTint="66"/>
      </w:tcPr>
    </w:tblStylePr>
    <w:tblStylePr w:type="band1Horz">
      <w:tblPr/>
      <w:tcPr>
        <w:shd w:val="clear" w:color="auto" w:fill="DE86D4"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A02B93" w:themeColor="accent5"/>
        <w:left w:val="single" w:sz="4" w:space="0" w:color="4EA72E" w:themeColor="accent6"/>
        <w:bottom w:val="single" w:sz="4" w:space="0" w:color="4EA72E" w:themeColor="accent6"/>
        <w:right w:val="single" w:sz="4" w:space="0" w:color="4EA72E" w:themeColor="accent6"/>
        <w:insideH w:val="single" w:sz="4" w:space="0" w:color="FFFFFF" w:themeColor="background1"/>
        <w:insideV w:val="single" w:sz="4" w:space="0" w:color="FFFFFF" w:themeColor="background1"/>
      </w:tblBorders>
    </w:tblPr>
    <w:tcPr>
      <w:shd w:val="clear" w:color="auto" w:fill="ECF8E8" w:themeFill="accent6" w:themeFillTint="19"/>
    </w:tcPr>
    <w:tblStylePr w:type="firstRow">
      <w:rPr>
        <w:b/>
        <w:bCs/>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E641B" w:themeFill="accent6" w:themeFillShade="99"/>
      </w:tcPr>
    </w:tblStylePr>
    <w:tblStylePr w:type="firstCol">
      <w:rPr>
        <w:color w:val="FFFFFF" w:themeColor="background1"/>
      </w:rPr>
      <w:tblPr/>
      <w:tcPr>
        <w:tcBorders>
          <w:top w:val="nil"/>
          <w:left w:val="nil"/>
          <w:bottom w:val="nil"/>
          <w:right w:val="nil"/>
          <w:insideH w:val="single" w:sz="4" w:space="0" w:color="2E641B" w:themeColor="accent6" w:themeShade="99"/>
          <w:insideV w:val="nil"/>
        </w:tcBorders>
        <w:shd w:val="clear" w:color="auto" w:fill="2E641B"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2E641B" w:themeFill="accent6" w:themeFillShade="99"/>
      </w:tcPr>
    </w:tblStylePr>
    <w:tblStylePr w:type="band1Vert">
      <w:tblPr/>
      <w:tcPr>
        <w:shd w:val="clear" w:color="auto" w:fill="B3E5A1" w:themeFill="accent6" w:themeFillTint="66"/>
      </w:tcPr>
    </w:tblStylePr>
    <w:tblStylePr w:type="band1Horz">
      <w:tblPr/>
      <w:tcPr>
        <w:shd w:val="clear" w:color="auto" w:fill="A0DF8A"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0F2FA" w:themeFill="accen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2DEF2" w:themeFill="accent1" w:themeFillTint="3F"/>
      </w:tcPr>
    </w:tblStylePr>
    <w:tblStylePr w:type="band1Horz">
      <w:tblPr/>
      <w:tcPr>
        <w:shd w:val="clear" w:color="auto" w:fill="C1E4F5"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CF0EA" w:themeFill="accent2"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9DBCC" w:themeFill="accent2" w:themeFillTint="3F"/>
      </w:tcPr>
    </w:tblStylePr>
    <w:tblStylePr w:type="band1Horz">
      <w:tblPr/>
      <w:tcPr>
        <w:shd w:val="clear" w:color="auto" w:fill="FAE2D5"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E0F8E3" w:themeFill="accent3" w:themeFillTint="19"/>
    </w:tcPr>
    <w:tblStylePr w:type="firstRow">
      <w:rPr>
        <w:b/>
        <w:bCs/>
        <w:color w:val="FFFFFF" w:themeColor="background1"/>
      </w:rPr>
      <w:tblPr/>
      <w:tcPr>
        <w:tcBorders>
          <w:bottom w:val="single" w:sz="12" w:space="0" w:color="FFFFFF" w:themeColor="background1"/>
        </w:tcBorders>
        <w:shd w:val="clear" w:color="auto" w:fill="0C7EAA" w:themeFill="accent4" w:themeFillShade="CC"/>
      </w:tcPr>
    </w:tblStylePr>
    <w:tblStylePr w:type="lastRow">
      <w:rPr>
        <w:b/>
        <w:bCs/>
        <w:color w:val="0C7EAA"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3EDBA" w:themeFill="accent3" w:themeFillTint="3F"/>
      </w:tcPr>
    </w:tblStylePr>
    <w:tblStylePr w:type="band1Horz">
      <w:tblPr/>
      <w:tcPr>
        <w:shd w:val="clear" w:color="auto" w:fill="C1F0C7"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E5F6FD" w:themeFill="accent4" w:themeFillTint="19"/>
    </w:tcPr>
    <w:tblStylePr w:type="firstRow">
      <w:rPr>
        <w:b/>
        <w:bCs/>
        <w:color w:val="FFFFFF" w:themeColor="background1"/>
      </w:rPr>
      <w:tblPr/>
      <w:tcPr>
        <w:tcBorders>
          <w:bottom w:val="single" w:sz="12" w:space="0" w:color="FFFFFF" w:themeColor="background1"/>
        </w:tcBorders>
        <w:shd w:val="clear" w:color="auto" w:fill="14551C" w:themeFill="accent3" w:themeFillShade="CC"/>
      </w:tcPr>
    </w:tblStylePr>
    <w:tblStylePr w:type="lastRow">
      <w:rPr>
        <w:b/>
        <w:bCs/>
        <w:color w:val="14551C"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DE9FA" w:themeFill="accent4" w:themeFillTint="3F"/>
      </w:tcPr>
    </w:tblStylePr>
    <w:tblStylePr w:type="band1Horz">
      <w:tblPr/>
      <w:tcPr>
        <w:shd w:val="clear" w:color="auto" w:fill="CAEDFB"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F8E7F6" w:themeFill="accent5" w:themeFillTint="19"/>
    </w:tcPr>
    <w:tblStylePr w:type="firstRow">
      <w:rPr>
        <w:b/>
        <w:bCs/>
        <w:color w:val="FFFFFF" w:themeColor="background1"/>
      </w:rPr>
      <w:tblPr/>
      <w:tcPr>
        <w:tcBorders>
          <w:bottom w:val="single" w:sz="12" w:space="0" w:color="FFFFFF" w:themeColor="background1"/>
        </w:tcBorders>
        <w:shd w:val="clear" w:color="auto" w:fill="3E8524" w:themeFill="accent6" w:themeFillShade="CC"/>
      </w:tcPr>
    </w:tblStylePr>
    <w:tblStylePr w:type="lastRow">
      <w:rPr>
        <w:b/>
        <w:bCs/>
        <w:color w:val="3E8524"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C3E9" w:themeFill="accent5" w:themeFillTint="3F"/>
      </w:tcPr>
    </w:tblStylePr>
    <w:tblStylePr w:type="band1Horz">
      <w:tblPr/>
      <w:tcPr>
        <w:shd w:val="clear" w:color="auto" w:fill="F2CEED"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ECF8E8" w:themeFill="accent6" w:themeFillTint="19"/>
    </w:tcPr>
    <w:tblStylePr w:type="firstRow">
      <w:rPr>
        <w:b/>
        <w:bCs/>
        <w:color w:val="FFFFFF" w:themeColor="background1"/>
      </w:rPr>
      <w:tblPr/>
      <w:tcPr>
        <w:tcBorders>
          <w:bottom w:val="single" w:sz="12" w:space="0" w:color="FFFFFF" w:themeColor="background1"/>
        </w:tcBorders>
        <w:shd w:val="clear" w:color="auto" w:fill="7F2275" w:themeFill="accent5" w:themeFillShade="CC"/>
      </w:tcPr>
    </w:tblStylePr>
    <w:tblStylePr w:type="lastRow">
      <w:rPr>
        <w:b/>
        <w:bCs/>
        <w:color w:val="7F227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0EFC5" w:themeFill="accent6" w:themeFillTint="3F"/>
      </w:tcPr>
    </w:tblStylePr>
    <w:tblStylePr w:type="band1Horz">
      <w:tblPr/>
      <w:tcPr>
        <w:shd w:val="clear" w:color="auto" w:fill="D9F2D0"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E4F5" w:themeFill="accent1" w:themeFillTint="33"/>
    </w:tcPr>
    <w:tblStylePr w:type="firstRow">
      <w:rPr>
        <w:b/>
        <w:bCs/>
      </w:rPr>
      <w:tblPr/>
      <w:tcPr>
        <w:shd w:val="clear" w:color="auto" w:fill="83CAEB" w:themeFill="accent1" w:themeFillTint="66"/>
      </w:tcPr>
    </w:tblStylePr>
    <w:tblStylePr w:type="lastRow">
      <w:rPr>
        <w:b/>
        <w:bCs/>
        <w:color w:val="000000" w:themeColor="text1"/>
      </w:rPr>
      <w:tblPr/>
      <w:tcPr>
        <w:shd w:val="clear" w:color="auto" w:fill="83CAEB" w:themeFill="accent1" w:themeFillTint="66"/>
      </w:tcPr>
    </w:tblStylePr>
    <w:tblStylePr w:type="firstCol">
      <w:rPr>
        <w:color w:val="FFFFFF" w:themeColor="background1"/>
      </w:rPr>
      <w:tblPr/>
      <w:tcPr>
        <w:shd w:val="clear" w:color="auto" w:fill="0F4761" w:themeFill="accent1" w:themeFillShade="BF"/>
      </w:tcPr>
    </w:tblStylePr>
    <w:tblStylePr w:type="lastCol">
      <w:rPr>
        <w:color w:val="FFFFFF" w:themeColor="background1"/>
      </w:rPr>
      <w:tblPr/>
      <w:tcPr>
        <w:shd w:val="clear" w:color="auto" w:fill="0F4761" w:themeFill="accent1" w:themeFillShade="BF"/>
      </w:tc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AE2D5" w:themeFill="accent2" w:themeFillTint="33"/>
    </w:tcPr>
    <w:tblStylePr w:type="firstRow">
      <w:rPr>
        <w:b/>
        <w:bCs/>
      </w:rPr>
      <w:tblPr/>
      <w:tcPr>
        <w:shd w:val="clear" w:color="auto" w:fill="F6C5AC" w:themeFill="accent2" w:themeFillTint="66"/>
      </w:tcPr>
    </w:tblStylePr>
    <w:tblStylePr w:type="lastRow">
      <w:rPr>
        <w:b/>
        <w:bCs/>
        <w:color w:val="000000" w:themeColor="text1"/>
      </w:rPr>
      <w:tblPr/>
      <w:tcPr>
        <w:shd w:val="clear" w:color="auto" w:fill="F6C5AC" w:themeFill="accent2" w:themeFillTint="66"/>
      </w:tcPr>
    </w:tblStylePr>
    <w:tblStylePr w:type="firstCol">
      <w:rPr>
        <w:color w:val="FFFFFF" w:themeColor="background1"/>
      </w:rPr>
      <w:tblPr/>
      <w:tcPr>
        <w:shd w:val="clear" w:color="auto" w:fill="BF4E14" w:themeFill="accent2" w:themeFillShade="BF"/>
      </w:tcPr>
    </w:tblStylePr>
    <w:tblStylePr w:type="lastCol">
      <w:rPr>
        <w:color w:val="FFFFFF" w:themeColor="background1"/>
      </w:rPr>
      <w:tblPr/>
      <w:tcPr>
        <w:shd w:val="clear" w:color="auto" w:fill="BF4E14" w:themeFill="accent2" w:themeFillShade="BF"/>
      </w:tc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F0C7" w:themeFill="accent3" w:themeFillTint="33"/>
    </w:tcPr>
    <w:tblStylePr w:type="firstRow">
      <w:rPr>
        <w:b/>
        <w:bCs/>
      </w:rPr>
      <w:tblPr/>
      <w:tcPr>
        <w:shd w:val="clear" w:color="auto" w:fill="84E290" w:themeFill="accent3" w:themeFillTint="66"/>
      </w:tcPr>
    </w:tblStylePr>
    <w:tblStylePr w:type="lastRow">
      <w:rPr>
        <w:b/>
        <w:bCs/>
        <w:color w:val="000000" w:themeColor="text1"/>
      </w:rPr>
      <w:tblPr/>
      <w:tcPr>
        <w:shd w:val="clear" w:color="auto" w:fill="84E290" w:themeFill="accent3" w:themeFillTint="66"/>
      </w:tcPr>
    </w:tblStylePr>
    <w:tblStylePr w:type="firstCol">
      <w:rPr>
        <w:color w:val="FFFFFF" w:themeColor="background1"/>
      </w:rPr>
      <w:tblPr/>
      <w:tcPr>
        <w:shd w:val="clear" w:color="auto" w:fill="124F1A" w:themeFill="accent3" w:themeFillShade="BF"/>
      </w:tcPr>
    </w:tblStylePr>
    <w:tblStylePr w:type="lastCol">
      <w:rPr>
        <w:color w:val="FFFFFF" w:themeColor="background1"/>
      </w:rPr>
      <w:tblPr/>
      <w:tcPr>
        <w:shd w:val="clear" w:color="auto" w:fill="124F1A" w:themeFill="accent3" w:themeFillShade="BF"/>
      </w:tc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AEDFB" w:themeFill="accent4" w:themeFillTint="33"/>
    </w:tcPr>
    <w:tblStylePr w:type="firstRow">
      <w:rPr>
        <w:b/>
        <w:bCs/>
      </w:rPr>
      <w:tblPr/>
      <w:tcPr>
        <w:shd w:val="clear" w:color="auto" w:fill="95DCF7" w:themeFill="accent4" w:themeFillTint="66"/>
      </w:tcPr>
    </w:tblStylePr>
    <w:tblStylePr w:type="lastRow">
      <w:rPr>
        <w:b/>
        <w:bCs/>
        <w:color w:val="000000" w:themeColor="text1"/>
      </w:rPr>
      <w:tblPr/>
      <w:tcPr>
        <w:shd w:val="clear" w:color="auto" w:fill="95DCF7" w:themeFill="accent4" w:themeFillTint="66"/>
      </w:tcPr>
    </w:tblStylePr>
    <w:tblStylePr w:type="firstCol">
      <w:rPr>
        <w:color w:val="FFFFFF" w:themeColor="background1"/>
      </w:rPr>
      <w:tblPr/>
      <w:tcPr>
        <w:shd w:val="clear" w:color="auto" w:fill="0B769F" w:themeFill="accent4" w:themeFillShade="BF"/>
      </w:tcPr>
    </w:tblStylePr>
    <w:tblStylePr w:type="lastCol">
      <w:rPr>
        <w:color w:val="FFFFFF" w:themeColor="background1"/>
      </w:rPr>
      <w:tblPr/>
      <w:tcPr>
        <w:shd w:val="clear" w:color="auto" w:fill="0B769F" w:themeFill="accent4" w:themeFillShade="BF"/>
      </w:tc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CEED" w:themeFill="accent5" w:themeFillTint="33"/>
    </w:tcPr>
    <w:tblStylePr w:type="firstRow">
      <w:rPr>
        <w:b/>
        <w:bCs/>
      </w:rPr>
      <w:tblPr/>
      <w:tcPr>
        <w:shd w:val="clear" w:color="auto" w:fill="E59EDC" w:themeFill="accent5" w:themeFillTint="66"/>
      </w:tcPr>
    </w:tblStylePr>
    <w:tblStylePr w:type="lastRow">
      <w:rPr>
        <w:b/>
        <w:bCs/>
        <w:color w:val="000000" w:themeColor="text1"/>
      </w:rPr>
      <w:tblPr/>
      <w:tcPr>
        <w:shd w:val="clear" w:color="auto" w:fill="E59EDC" w:themeFill="accent5" w:themeFillTint="66"/>
      </w:tcPr>
    </w:tblStylePr>
    <w:tblStylePr w:type="firstCol">
      <w:rPr>
        <w:color w:val="FFFFFF" w:themeColor="background1"/>
      </w:rPr>
      <w:tblPr/>
      <w:tcPr>
        <w:shd w:val="clear" w:color="auto" w:fill="77206D" w:themeFill="accent5" w:themeFillShade="BF"/>
      </w:tcPr>
    </w:tblStylePr>
    <w:tblStylePr w:type="lastCol">
      <w:rPr>
        <w:color w:val="FFFFFF" w:themeColor="background1"/>
      </w:rPr>
      <w:tblPr/>
      <w:tcPr>
        <w:shd w:val="clear" w:color="auto" w:fill="77206D" w:themeFill="accent5" w:themeFillShade="BF"/>
      </w:tc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9F2D0" w:themeFill="accent6" w:themeFillTint="33"/>
    </w:tcPr>
    <w:tblStylePr w:type="firstRow">
      <w:rPr>
        <w:b/>
        <w:bCs/>
      </w:rPr>
      <w:tblPr/>
      <w:tcPr>
        <w:shd w:val="clear" w:color="auto" w:fill="B3E5A1" w:themeFill="accent6" w:themeFillTint="66"/>
      </w:tcPr>
    </w:tblStylePr>
    <w:tblStylePr w:type="lastRow">
      <w:rPr>
        <w:b/>
        <w:bCs/>
        <w:color w:val="000000" w:themeColor="text1"/>
      </w:rPr>
      <w:tblPr/>
      <w:tcPr>
        <w:shd w:val="clear" w:color="auto" w:fill="B3E5A1" w:themeFill="accent6" w:themeFillTint="66"/>
      </w:tcPr>
    </w:tblStylePr>
    <w:tblStylePr w:type="firstCol">
      <w:rPr>
        <w:color w:val="FFFFFF" w:themeColor="background1"/>
      </w:rPr>
      <w:tblPr/>
      <w:tcPr>
        <w:shd w:val="clear" w:color="auto" w:fill="3A7C22" w:themeFill="accent6" w:themeFillShade="BF"/>
      </w:tcPr>
    </w:tblStylePr>
    <w:tblStylePr w:type="lastCol">
      <w:rPr>
        <w:color w:val="FFFFFF" w:themeColor="background1"/>
      </w:rPr>
      <w:tblPr/>
      <w:tcPr>
        <w:shd w:val="clear" w:color="auto" w:fill="3A7C22" w:themeFill="accent6" w:themeFillShade="BF"/>
      </w:tc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character" w:customStyle="1" w:styleId="NoSpacingChar">
    <w:name w:val="No Spacing Char"/>
    <w:basedOn w:val="DefaultParagraphFont"/>
    <w:link w:val="NoSpacing"/>
    <w:uiPriority w:val="1"/>
    <w:rsid w:val="00641096"/>
  </w:style>
  <w:style w:type="paragraph" w:customStyle="1" w:styleId="PersonalName">
    <w:name w:val="Personal Name"/>
    <w:basedOn w:val="Title"/>
    <w:rsid w:val="00641096"/>
    <w:rPr>
      <w:b/>
      <w:caps/>
      <w:color w:val="000000"/>
      <w:sz w:val="28"/>
      <w:szCs w:val="28"/>
    </w:rPr>
  </w:style>
  <w:style w:type="table" w:styleId="GridTable7ColourfulAccent6">
    <w:name w:val="Grid Table 7 Colorful Accent 6"/>
    <w:basedOn w:val="TableNormal"/>
    <w:uiPriority w:val="52"/>
    <w:rsid w:val="008F16EB"/>
    <w:pPr>
      <w:spacing w:after="0" w:line="240" w:lineRule="auto"/>
    </w:pPr>
    <w:rPr>
      <w:color w:val="3A7C22" w:themeColor="accent6" w:themeShade="BF"/>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F2D0" w:themeFill="accent6" w:themeFillTint="33"/>
      </w:tcPr>
    </w:tblStylePr>
    <w:tblStylePr w:type="band1Horz">
      <w:tblPr/>
      <w:tcPr>
        <w:shd w:val="clear" w:color="auto" w:fill="D9F2D0" w:themeFill="accent6" w:themeFillTint="33"/>
      </w:tcPr>
    </w:tblStylePr>
    <w:tblStylePr w:type="neCell">
      <w:tblPr/>
      <w:tcPr>
        <w:tcBorders>
          <w:bottom w:val="single" w:sz="4" w:space="0" w:color="8DD873" w:themeColor="accent6" w:themeTint="99"/>
        </w:tcBorders>
      </w:tcPr>
    </w:tblStylePr>
    <w:tblStylePr w:type="nwCell">
      <w:tblPr/>
      <w:tcPr>
        <w:tcBorders>
          <w:bottom w:val="single" w:sz="4" w:space="0" w:color="8DD873" w:themeColor="accent6" w:themeTint="99"/>
        </w:tcBorders>
      </w:tcPr>
    </w:tblStylePr>
    <w:tblStylePr w:type="seCell">
      <w:tblPr/>
      <w:tcPr>
        <w:tcBorders>
          <w:top w:val="single" w:sz="4" w:space="0" w:color="8DD873" w:themeColor="accent6" w:themeTint="99"/>
        </w:tcBorders>
      </w:tcPr>
    </w:tblStylePr>
    <w:tblStylePr w:type="swCell">
      <w:tblPr/>
      <w:tcPr>
        <w:tcBorders>
          <w:top w:val="single" w:sz="4" w:space="0" w:color="8DD873" w:themeColor="accent6" w:themeTint="99"/>
        </w:tcBorders>
      </w:tcPr>
    </w:tblStylePr>
  </w:style>
  <w:style w:type="table" w:styleId="GridTable1Light">
    <w:name w:val="Grid Table 1 Light"/>
    <w:basedOn w:val="TableNormal"/>
    <w:uiPriority w:val="99"/>
    <w:rsid w:val="008F16EB"/>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ListTable6Colourful">
    <w:name w:val="List Table 6 Colorful"/>
    <w:basedOn w:val="TableNormal"/>
    <w:uiPriority w:val="51"/>
    <w:rsid w:val="008F16EB"/>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PlainTable2">
    <w:name w:val="Plain Table 2"/>
    <w:basedOn w:val="TableNormal"/>
    <w:uiPriority w:val="99"/>
    <w:rsid w:val="008F16EB"/>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99"/>
    <w:rsid w:val="008F16EB"/>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1">
    <w:name w:val="Plain Table 1"/>
    <w:basedOn w:val="TableNormal"/>
    <w:uiPriority w:val="99"/>
    <w:rsid w:val="008F16EB"/>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Noah">
    <w:name w:val="Noah"/>
    <w:basedOn w:val="TableNormal"/>
    <w:uiPriority w:val="99"/>
    <w:rsid w:val="008F16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rPr>
        <w:color w:val="auto"/>
      </w:rPr>
      <w:tblPr/>
      <w:tcPr>
        <w:shd w:val="clear" w:color="auto" w:fill="E8E8E8" w:themeFill="background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 Id="rId8" Type="http://schemas.openxmlformats.org/officeDocument/2006/relationships/image" Target="media/image1.jpg"/><Relationship Id="rId9" Type="http://schemas.openxmlformats.org/officeDocument/2006/relationships/hyperlink" Target="https://www.starobserver.com.au/news/divine-playhouse-rally/242735" TargetMode="External"/><Relationship Id="rId10" Type="http://schemas.openxmlformats.org/officeDocument/2006/relationships/hyperlink" Target="https://www.theguardian.com/australia-news/2026/jul/14/divine-playhouse-lgbtq-events-cancelled-sydney-church" TargetMode="External"/><Relationship Id="rId11" Type="http://schemas.openxmlformats.org/officeDocument/2006/relationships/hyperlink" Target="https://www.abc.net.au/news/2026-07-15/nsw-divine-playhouse-church-ordered-to-cease-offensive-trading/106915110" TargetMode="External"/><Relationship Id="rId12" Type="http://schemas.openxmlformats.org/officeDocument/2006/relationships/hyperlink" Target="https://www.pedestrian.tv/news/sydney-divine-playhouse-shut-down-protests/" TargetMode="External"/><Relationship Id="rId13" Type="http://schemas.openxmlformats.org/officeDocument/2006/relationships/hyperlink" Target="https://catholicweekly.com.au/petition-gains-thousands-of-signatures-over-government-backed-divine-playhouse/" TargetMode="External"/><Relationship Id="rId14" Type="http://schemas.openxmlformats.org/officeDocument/2006/relationships/hyperlink" Target="https://ra.co/news/85569"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http://schemas.openxmlformats.org/officeDocument/2006/relationships/officeDocument" TargetMode="External"/></Relationships>
</file>

<file path=word/theme/theme1.xml><?xml version="1.0" encoding="utf-8"?>
<a:theme xmlns:a="http://schemas.openxmlformats.org/drawingml/2006/main" name="Crop">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Crop">
      <a:majorFont>
        <a:latin typeface="Franklin Gothic Book" panose="020B0503020102020204"/>
        <a:ea typeface=""/>
        <a:cs typeface=""/>
      </a:majorFont>
      <a:minorFont>
        <a:latin typeface="Franklin Gothic Book" panose="020B0503020102020204"/>
        <a:ea typeface=""/>
        <a:cs typeface=""/>
      </a:minorFont>
    </a:fontScheme>
    <a:fmtScheme name="Crop">
      <a:fillStyleLst>
        <a:solidFill>
          <a:schemeClr val="phClr"/>
        </a:solidFill>
        <a:gradFill rotWithShape="1">
          <a:gsLst>
            <a:gs pos="0">
              <a:schemeClr val="phClr">
                <a:tint val="67000"/>
                <a:satMod val="105000"/>
                <a:lumMod val="110000"/>
              </a:schemeClr>
            </a:gs>
            <a:gs pos="50000">
              <a:schemeClr val="phClr">
                <a:tint val="73000"/>
                <a:satMod val="103000"/>
                <a:lumMod val="105000"/>
              </a:schemeClr>
            </a:gs>
            <a:gs pos="100000">
              <a:schemeClr val="phClr">
                <a:tint val="81000"/>
                <a:satMod val="109000"/>
                <a:lumMod val="105000"/>
              </a:schemeClr>
            </a:gs>
          </a:gsLst>
          <a:lin ang="5400000" scaled="0"/>
        </a:gradFill>
        <a:gradFill rotWithShape="1">
          <a:gsLst>
            <a:gs pos="0">
              <a:schemeClr val="phClr">
                <a:tint val="94000"/>
                <a:satMod val="103000"/>
                <a:lumMod val="102000"/>
              </a:schemeClr>
            </a:gs>
            <a:gs pos="50000">
              <a:schemeClr val="phClr">
                <a:shade val="100000"/>
                <a:satMod val="110000"/>
                <a:lumMod val="100000"/>
              </a:schemeClr>
            </a:gs>
            <a:gs pos="100000">
              <a:schemeClr val="phClr">
                <a:shade val="78000"/>
                <a:satMod val="120000"/>
                <a:lumMod val="99000"/>
              </a:schemeClr>
            </a:gs>
          </a:gsLst>
          <a:lin ang="5400000" scaled="0"/>
        </a:gradFill>
      </a:fillStyleLst>
      <a:lnStyleLst>
        <a:ln w="6350" cap="flat" cmpd="sng" algn="in">
          <a:solidFill>
            <a:schemeClr val="phClr"/>
          </a:solidFill>
          <a:prstDash val="solid"/>
        </a:ln>
        <a:ln w="34925" cap="flat" cmpd="sng" algn="in">
          <a:solidFill>
            <a:schemeClr val="phClr"/>
          </a:solidFill>
          <a:prstDash val="solid"/>
        </a:ln>
        <a:ln w="19050" cap="flat" cmpd="sng" algn="in">
          <a:solidFill>
            <a:schemeClr val="phClr"/>
          </a:solidFill>
          <a:prstDash val="solid"/>
        </a:ln>
      </a:lnStyleLst>
      <a:effectStyleLst>
        <a:effectStyle>
          <a:effectLst/>
        </a:effectStyle>
        <a:effectStyle>
          <a:effectLst/>
        </a:effectStyle>
        <a:effectStyle>
          <a:effectLst>
            <a:outerShdw blurRad="57150" dist="19050" dir="5400000" algn="ctr" rotWithShape="0">
              <a:srgbClr val="000000">
                <a:alpha val="35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hade val="98000"/>
                <a:satMod val="150000"/>
                <a:lumMod val="102000"/>
              </a:schemeClr>
            </a:gs>
            <a:gs pos="50000">
              <a:schemeClr val="phClr">
                <a:tint val="98000"/>
                <a:shade val="90000"/>
                <a:satMod val="13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Crop" id="{EC9488ED-E761-4D60-9AC4-764D1FE2C171}" vid="{CE19780C-D67D-4C13-9DE9-A52BC3BA51B4}"/>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template.dotx</Template>
  <TotalTime>1</TotalTime>
  <Pages>1</Pages>
  <Words>0</Words>
  <Characters>0</Characters>
  <Application>Microsoft Office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Joao Soares</dc:creator>
  <cp:keywords/>
  <dc:description>generated by python-docx</dc:description>
  <cp:lastModifiedBy>Joao Soares</cp:lastModifiedBy>
  <cp:revision>2</cp:revision>
  <dcterms:created xsi:type="dcterms:W3CDTF">2025-04-30T15:43:00Z</dcterms:created>
  <dcterms:modified xsi:type="dcterms:W3CDTF">2025-04-30T15:43:00Z</dcterms:modified>
  <cp:category/>
</cp:coreProperties>
</file>