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Islamic Education Approaches to Navigating the LGBT Debate in Indonesia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are turning to faith-based frameworks as the LGBT debate resurfaces in universities and policy circles; Muslim educators and organisations in Indonesia argue that Islamic education offers moral foundations, practical guidance for families, and a calm tone for public conversation.</w:t>
      </w:r>
      <w:r/>
    </w:p>
    <w:p>
      <w:r/>
      <w:r>
        <w:t>Essential Takeaways</w:t>
      </w:r>
      <w:r/>
      <w:r/>
    </w:p>
    <w:p>
      <w:pPr>
        <w:pStyle w:val="ListBullet"/>
        <w:spacing w:line="240" w:lineRule="auto"/>
        <w:ind w:left="720"/>
      </w:pPr>
      <w:r/>
      <w:r>
        <w:rPr>
          <w:b/>
        </w:rPr>
        <w:t>Context:</w:t>
      </w:r>
      <w:r>
        <w:t xml:space="preserve"> Student research and a university response reignited public debate over LGBT issues in Indonesia; the topic now spans academia, religious bodies and lawmakers.</w:t>
      </w:r>
      <w:r/>
    </w:p>
    <w:p>
      <w:pPr>
        <w:pStyle w:val="ListBullet"/>
        <w:spacing w:line="240" w:lineRule="auto"/>
        <w:ind w:left="720"/>
      </w:pPr>
      <w:r/>
      <w:r>
        <w:rPr>
          <w:b/>
        </w:rPr>
        <w:t>Religious grounding:</w:t>
      </w:r>
      <w:r>
        <w:t xml:space="preserve"> Islamic teaching frames sexual ethics within marriage between a man and a woman, and points to scripture and prophetic guidance as normative anchors.</w:t>
      </w:r>
      <w:r/>
    </w:p>
    <w:p>
      <w:pPr>
        <w:pStyle w:val="ListBullet"/>
        <w:spacing w:line="240" w:lineRule="auto"/>
        <w:ind w:left="720"/>
      </w:pPr>
      <w:r/>
      <w:r>
        <w:rPr>
          <w:b/>
        </w:rPr>
        <w:t>Tone matters:</w:t>
      </w:r>
      <w:r>
        <w:t xml:space="preserve"> Leaders emphasise hikmah , wise, gentle engagement , to avoid dehumanising language and protect social harmony.</w:t>
      </w:r>
      <w:r/>
    </w:p>
    <w:p>
      <w:pPr>
        <w:pStyle w:val="ListBullet"/>
        <w:spacing w:line="240" w:lineRule="auto"/>
        <w:ind w:left="720"/>
      </w:pPr>
      <w:r/>
      <w:r>
        <w:rPr>
          <w:b/>
        </w:rPr>
        <w:t>Policy and pedagogy:</w:t>
      </w:r>
      <w:r>
        <w:t xml:space="preserve"> Organisations call for policies that respect religious values while urging education that supports families and age-appropriate digital safeguards.</w:t>
      </w:r>
      <w:r/>
    </w:p>
    <w:p>
      <w:pPr>
        <w:pStyle w:val="ListBullet"/>
        <w:spacing w:line="240" w:lineRule="auto"/>
        <w:ind w:left="720"/>
      </w:pPr>
      <w:r/>
      <w:r>
        <w:rPr>
          <w:b/>
        </w:rPr>
        <w:t>Practicality:</w:t>
      </w:r>
      <w:r>
        <w:t xml:space="preserve"> Parents and schools are encouraged to strengthen character education, monitor online content, and discuss sensitive topics with care.</w:t>
      </w:r>
      <w:r/>
      <w:r/>
    </w:p>
    <w:p>
      <w:pPr>
        <w:pStyle w:val="Heading2"/>
      </w:pPr>
      <w:r>
        <w:t>Why the debate flared again , and why it matters now</w:t>
      </w:r>
      <w:r/>
    </w:p>
    <w:p>
      <w:r/>
      <w:r>
        <w:t>A university student group published a study citing the American Psychological Association, and the post went viral, prompting Universitas Indonesia to clarify the findings were not the institution's official stance. At the same time, the Indonesian Ulema Council announced work on an academic paper and draft law addressing LGBT-related crimes, which pushed the issue from campus chat into national policy conversation. The result is a debate that now involves academics, religious leaders, lawmakers and families, so the stakes are higher than a single social-media row.</w:t>
      </w:r>
      <w:r/>
    </w:p>
    <w:p>
      <w:r/>
      <w:r>
        <w:t>This matters because policy choices shape everyday life: education, family law and digital regulation. If one voice , whether purely scientific or purely religious , dominates, public discourse can feel unbalanced. Observers say that a broader, multi-disciplinary approach would help, blending research with cultural and religious understanding to craft responses that fit Indonesia's social fabric.</w:t>
      </w:r>
      <w:r/>
    </w:p>
    <w:p>
      <w:pPr>
        <w:pStyle w:val="Heading2"/>
      </w:pPr>
      <w:r>
        <w:t>Islamic education as a foundation, not a blunt instrument</w:t>
      </w:r>
      <w:r/>
    </w:p>
    <w:p>
      <w:r/>
      <w:r>
        <w:t>Islamic educators argue that their tradition offers a coherent framework for moral formation: belief leads to character, character to conduct. Scriptural citations and the story of Prophet Luth are cited by many as normative guidance on sexual ethics, while injunctions about gentleness and wise persuasion shape how those values are communicated. In practice, this means teaching young people about marriage, duty and dignity alongside broader moral virtues.</w:t>
      </w:r>
      <w:r/>
    </w:p>
    <w:p>
      <w:r/>
      <w:r>
        <w:t>That doesn't mean shutting down dialogue. Prominent Muslim groups stress delivering teachings with compassion and respect. So, Islamic education can be both principled and pastoral , a source of conviction that still models civility when discussing contested issues.</w:t>
      </w:r>
      <w:r/>
    </w:p>
    <w:p>
      <w:pPr>
        <w:pStyle w:val="Heading2"/>
      </w:pPr>
      <w:r>
        <w:t>What parents and schools can do , practical, age-appropriate steps</w:t>
      </w:r>
      <w:r/>
    </w:p>
    <w:p>
      <w:r/>
      <w:r>
        <w:t>Families and schools are the front line. Strengthening character education, as Muhammadiyah-affiliated voices have noted, doesn't erase moral clarity but equips children with resilience, empathy and critical thinking. Practical steps include creating clear, consistent messages at home about relationships, using age-appropriate materials, and monitoring digital spaces where children increasingly encounter conflicting narratives.</w:t>
      </w:r>
      <w:r/>
    </w:p>
    <w:p>
      <w:r/>
      <w:r>
        <w:t>Schools can build policies that reflect community values while protecting pupils' dignity. That might mean pastoral support for students grappling with identity questions, and teacher training so conversations stay respectful and developmentally appropriate. Small interventions often prevent confusion from becoming crisis.</w:t>
      </w:r>
      <w:r/>
    </w:p>
    <w:p>
      <w:pPr>
        <w:pStyle w:val="Heading2"/>
      </w:pPr>
      <w:r>
        <w:t>How policy and research should interact</w:t>
      </w:r>
      <w:r/>
    </w:p>
    <w:p>
      <w:r/>
      <w:r>
        <w:t>Research provides data; religion provides values; policy should bridge the two. Observers recommend transparent processes where academic findings, religious ethics and human-rights concerns are weighed together. When organisations draft legislation or educational standards, they can benefit from multidisciplinary review panels so outcomes are defensible, balanced and suited to Indonesia's plural society.</w:t>
      </w:r>
      <w:r/>
    </w:p>
    <w:p>
      <w:r/>
      <w:r>
        <w:t>That approach also reduces polarisation. If lawmakers consult clergy, educators and scientists, public trust is likelier to hold. Meanwhile, academic institutions can communicate clearly about what is or isn't official university policy to avoid misunderstandings that inflame public debate.</w:t>
      </w:r>
      <w:r/>
    </w:p>
    <w:p>
      <w:pPr>
        <w:pStyle w:val="Heading2"/>
      </w:pPr>
      <w:r>
        <w:t>Conversation tone: why kindness changes outcomes</w:t>
      </w:r>
      <w:r/>
    </w:p>
    <w:p>
      <w:r/>
      <w:r>
        <w:t>Islamic sources emphasise hikmah and gentle discourse, alongside strictures about sexual conduct. Leaders who foreground humane language tend to keep debates from tipping into harassment or social exclusion. In a digital age where messages spread fast and feelings get raw, modelling calm, courteous discussion is a small but powerful tool for preserving social cohesion.</w:t>
      </w:r>
      <w:r/>
    </w:p>
    <w:p>
      <w:r/>
      <w:r>
        <w:t>Looking ahead, constructive dialogue , rooted in religious conviction but practised with empathy , can help Indonesia navigate a sensitive issue without shredding relationships or derailing children's wellbeing.</w:t>
      </w:r>
      <w:r/>
    </w:p>
    <w:p>
      <w:r/>
      <w:r>
        <w:t>It's a small shift in tone and practice that could make public debate less destructive and more useful.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2">
        <w:r>
          <w:rPr>
            <w:color w:val="0000EE"/>
            <w:u w:val="single"/>
          </w:rPr>
          <w:t>[3]</w:t>
        </w:r>
      </w:hyperlink>
      <w:r>
        <w:t xml:space="preserve">, </w:t>
      </w:r>
      <w:hyperlink r:id="rId11">
        <w:r>
          <w:rPr>
            <w:color w:val="0000EE"/>
            <w:u w:val="single"/>
          </w:rPr>
          <w:t>[4]</w:t>
        </w:r>
      </w:hyperlink>
      <w:r>
        <w:t xml:space="preserve">- Paragraph 4: </w:t>
      </w:r>
      <w:hyperlink r:id="rId14">
        <w:r>
          <w:rPr>
            <w:color w:val="0000EE"/>
            <w:u w:val="single"/>
          </w:rPr>
          <w:t>[6]</w:t>
        </w:r>
      </w:hyperlink>
      <w:r>
        <w:t xml:space="preserve">, </w:t>
      </w:r>
      <w:hyperlink r:id="rId15">
        <w:r>
          <w:rPr>
            <w:color w:val="0000EE"/>
            <w:u w:val="single"/>
          </w:rPr>
          <w:t>[7]</w:t>
        </w:r>
      </w:hyperlink>
      <w:r>
        <w:t xml:space="preserve">- Paragraph 5: </w:t>
      </w:r>
      <w:hyperlink r:id="rId13">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https://retizen.republika.co.id/posts/770704/pendidikan-islam-sebagai-fondasi-menyikapi-perdebatan-lgbt</w:t>
        </w:r>
      </w:hyperlink>
      <w:r>
        <w:t xml:space="preserve"> - Please view link - unable to able to access data</w:t>
      </w:r>
      <w:r/>
    </w:p>
    <w:p>
      <w:pPr>
        <w:pStyle w:val="ListNumber"/>
        <w:spacing w:line="240" w:lineRule="auto"/>
        <w:ind w:left="720"/>
      </w:pPr>
      <w:r/>
      <w:hyperlink r:id="rId10">
        <w:r>
          <w:rPr>
            <w:color w:val="0000EE"/>
            <w:u w:val="single"/>
          </w:rPr>
          <w:t>https://news.detik.com/berita/d-8558215/viral-kajian-bem-psikologi-soal-lgbt-ui-bilang-bukan-sikap-resmi-kampus</w:t>
        </w:r>
      </w:hyperlink>
      <w:r>
        <w:t xml:space="preserve"> - Universitas Indonesia (UI) addressed a viral post by the Faculty of Psychology's Student Executive Board (BEM) regarding a study on LGBT issues. UI clarified that the content, which cited the American Psychological Association's 2008 study stating that homosexuality is not a mental disorder, did not reflect the university's official stance. The post was subsequently deleted from BEM's Instagram account, but screenshots had already circulated widely.</w:t>
      </w:r>
      <w:r/>
    </w:p>
    <w:p>
      <w:pPr>
        <w:pStyle w:val="ListNumber"/>
        <w:spacing w:line="240" w:lineRule="auto"/>
        <w:ind w:left="720"/>
      </w:pPr>
      <w:r/>
      <w:hyperlink r:id="rId12">
        <w:r>
          <w:rPr>
            <w:color w:val="0000EE"/>
            <w:u w:val="single"/>
          </w:rPr>
          <w:t>https://muhammadiyah.or.id/2026/06/aisyiyah-pendidikan-inklusif-bukan-berarti-mengaburkan-prinsip-moral/</w:t>
        </w:r>
      </w:hyperlink>
      <w:r>
        <w:t xml:space="preserve"> - The Muhammadiyah organization addressed misconceptions surrounding inclusive education, particularly its association with accepting LGBT issues. Casmini, Chairperson of the Majelis Tabligh and Ketarjihan of Muhammadiyah, emphasized that inclusive education should be understood holistically, integrating academic perspectives with Islamic values. She clarified that inclusive education ensures equal learning opportunities without discrimination based on social, economic, cultural, religious, or physical conditions, and does not equate to endorsing all social behaviors, including those related to LGBT.</w:t>
      </w:r>
      <w:r/>
    </w:p>
    <w:p>
      <w:pPr>
        <w:pStyle w:val="ListNumber"/>
        <w:spacing w:line="240" w:lineRule="auto"/>
        <w:ind w:left="720"/>
      </w:pPr>
      <w:r/>
      <w:hyperlink r:id="rId11">
        <w:r>
          <w:rPr>
            <w:color w:val="0000EE"/>
            <w:u w:val="single"/>
          </w:rPr>
          <w:t>https://muhammadiyah.or.id/2026/06/menjaga-fitrah-manusia-di-tengah-arus-normalisasi-lgbt/</w:t>
        </w:r>
      </w:hyperlink>
      <w:r>
        <w:t xml:space="preserve"> - Muhammadiyah highlighted concerns over the normalization of LGBT issues amid rapid globalization and social changes. The organization emphasized that, from an Islamic perspective, the discussion on LGBT should be framed within the context of human nature, creation purposes, and societal welfare. Islam views that Allah SWT created humans in two genders, male and female, as a biological fact, and any deviation from this is seen as against the natural order.</w:t>
      </w:r>
      <w:r/>
    </w:p>
    <w:p>
      <w:pPr>
        <w:pStyle w:val="ListNumber"/>
        <w:spacing w:line="240" w:lineRule="auto"/>
        <w:ind w:left="720"/>
      </w:pPr>
      <w:r/>
      <w:hyperlink r:id="rId13">
        <w:r>
          <w:rPr>
            <w:color w:val="0000EE"/>
            <w:u w:val="single"/>
          </w:rPr>
          <w:t>https://yaqeeninstitute.org/curriculum/the-everyday-ethics-of-life/islam-and-homosexuality</w:t>
        </w:r>
      </w:hyperlink>
      <w:r>
        <w:t xml:space="preserve"> - The Yaqeen Institute offers a curriculum unit titled 'Islam and Homosexuality: Reframing the Narrative on LGBTQ'. This educational resource aims to help students understand Islamic perspectives on same-sex desires and acts, empowering them to critically assess the principles underlying the LGBTQ movement. The curriculum includes lessons on the rise of the LGBTQ movement, sexual ethics in Islam, and living life true to God, providing a comprehensive framework for discussing these topics within an Islamic context.</w:t>
      </w:r>
      <w:r/>
    </w:p>
    <w:p>
      <w:pPr>
        <w:pStyle w:val="ListNumber"/>
        <w:spacing w:line="240" w:lineRule="auto"/>
        <w:ind w:left="720"/>
      </w:pPr>
      <w:r/>
      <w:hyperlink r:id="rId14">
        <w:r>
          <w:rPr>
            <w:color w:val="0000EE"/>
            <w:u w:val="single"/>
          </w:rPr>
          <w:t>https://yaqeeninstitute.org.my/read/paper/islam-and-the-lgbt-question-reframing-the-narrative</w:t>
        </w:r>
      </w:hyperlink>
      <w:r>
        <w:t xml:space="preserve"> - The Yaqeen Institute's article 'Islam and the LGBT Question: Reframing the Narrative' explores Islamic views on gender, sex, and sexual morality. It distinguishes modern worldviews and examines how Islam addresses issues related to LGBT, providing a nuanced understanding of the topic within the Islamic tradition. The article aims to offer a comprehensive perspective on the subject, challenging prevailing narratives and presenting an Islamic framework for discussing these issues.</w:t>
      </w:r>
      <w:r/>
    </w:p>
    <w:p>
      <w:pPr>
        <w:pStyle w:val="ListNumber"/>
        <w:spacing w:line="240" w:lineRule="auto"/>
        <w:ind w:left="720"/>
      </w:pPr>
      <w:r/>
      <w:hyperlink r:id="rId15">
        <w:r>
          <w:rPr>
            <w:color w:val="0000EE"/>
            <w:u w:val="single"/>
          </w:rPr>
          <w:t>https://arxiv.org/abs/2512.03943</w:t>
        </w:r>
      </w:hyperlink>
      <w:r>
        <w:t xml:space="preserve"> - The paper titled 'Is Lying Only Sinful in Islam? Exploring Religious Bias in Multilingual Large Language Models Across Major Religions' investigates how large language models handle religious content, focusing on Islam. The study reveals persistent biases in these models, highlighting challenges in accurately representing religious contexts. It underscores the importance of addressing such biases to ensure fair and accurate information dissemination, particularly concerning sensitive topics like religious teachings and moral perspectives.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tizen.republika.co.id/posts/770704/pendidikan-islam-sebagai-fondasi-menyikapi-perdebatan-lgbt" TargetMode="External"/><Relationship Id="rId10" Type="http://schemas.openxmlformats.org/officeDocument/2006/relationships/hyperlink" Target="https://news.detik.com/berita/d-8558215/viral-kajian-bem-psikologi-soal-lgbt-ui-bilang-bukan-sikap-resmi-kampus" TargetMode="External"/><Relationship Id="rId11" Type="http://schemas.openxmlformats.org/officeDocument/2006/relationships/hyperlink" Target="https://muhammadiyah.or.id/2026/06/menjaga-fitrah-manusia-di-tengah-arus-normalisasi-lgbt/" TargetMode="External"/><Relationship Id="rId12" Type="http://schemas.openxmlformats.org/officeDocument/2006/relationships/hyperlink" Target="https://muhammadiyah.or.id/2026/06/aisyiyah-pendidikan-inklusif-bukan-berarti-mengaburkan-prinsip-moral/" TargetMode="External"/><Relationship Id="rId13" Type="http://schemas.openxmlformats.org/officeDocument/2006/relationships/hyperlink" Target="https://yaqeeninstitute.org/curriculum/the-everyday-ethics-of-life/islam-and-homosexuality" TargetMode="External"/><Relationship Id="rId14" Type="http://schemas.openxmlformats.org/officeDocument/2006/relationships/hyperlink" Target="https://yaqeeninstitute.org.my/read/paper/islam-and-the-lgbt-question-reframing-the-narrative" TargetMode="External"/><Relationship Id="rId15" Type="http://schemas.openxmlformats.org/officeDocument/2006/relationships/hyperlink" Target="https://arxiv.org/abs/2512.039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