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pPr>
        <w:pStyle w:val="Heading1"/>
      </w:pPr>
      <w:r>
        <w:t>Best Coverage of the Transgender Athletes Ruling: What Readers Need to Know</w:t>
      </w:r>
      <w:r/>
    </w:p>
    <w:p>
      <w:r/>
      <w:r/>
    </w:p>
    <w:p>
      <w:r>
        <w:drawing>
          <wp:inline xmlns:a="http://schemas.openxmlformats.org/drawingml/2006/main" xmlns:pic="http://schemas.openxmlformats.org/drawingml/2006/picture">
            <wp:extent cx="5080000" cy="2902857"/>
            <wp:docPr id="1" name="Picture 1"/>
            <wp:cNvGraphicFramePr>
              <a:graphicFrameLocks noChangeAspect="1"/>
            </wp:cNvGraphicFramePr>
            <a:graphic>
              <a:graphicData uri="http://schemas.openxmlformats.org/drawingml/2006/picture">
                <pic:pic>
                  <pic:nvPicPr>
                    <pic:cNvPr id="0" name="image.jpg"/>
                    <pic:cNvPicPr/>
                  </pic:nvPicPr>
                  <pic:blipFill>
                    <a:blip r:embed="rId8"/>
                    <a:stretch>
                      <a:fillRect/>
                    </a:stretch>
                  </pic:blipFill>
                  <pic:spPr>
                    <a:xfrm>
                      <a:off x="0" y="0"/>
                      <a:ext cx="5080000" cy="2902857"/>
                    </a:xfrm>
                    <a:prstGeom prst="rect"/>
                  </pic:spPr>
                </pic:pic>
              </a:graphicData>
            </a:graphic>
          </wp:inline>
        </w:drawing>
      </w:r>
    </w:p>
    <w:p>
      <w:r/>
      <w:r>
        <w:rPr>
          <w:b/>
        </w:rPr>
        <w:t>Watchful readers are parsing media coverage after the Supreme Court upheld state bans on boys in girls’ sports , a decision that’s already sparked sharp headlines, emotional reactions and fresh debate about language, fairness and how reporters frame the story. Here’s a clear, practical guide to what happened, why it matters, and how to read the coverage.</w:t>
      </w:r>
      <w:r/>
    </w:p>
    <w:p>
      <w:r/>
      <w:r>
        <w:t>Essential Takeaways</w:t>
      </w:r>
      <w:r/>
      <w:r/>
    </w:p>
    <w:p>
      <w:pPr>
        <w:pStyle w:val="ListBullet"/>
        <w:spacing w:line="240" w:lineRule="auto"/>
        <w:ind w:left="720"/>
      </w:pPr>
      <w:r/>
      <w:r>
        <w:rPr>
          <w:b/>
        </w:rPr>
        <w:t>Ruling basics:</w:t>
      </w:r>
      <w:r>
        <w:t xml:space="preserve"> The Supreme Court backed state-level restrictions on transgender athletes competing in girls’ sports, a decision that affects school sports policies nationwide and has sparked immediate reactions. </w:t>
      </w:r>
      <w:r/>
    </w:p>
    <w:p>
      <w:pPr>
        <w:pStyle w:val="ListBullet"/>
        <w:spacing w:line="240" w:lineRule="auto"/>
        <w:ind w:left="720"/>
      </w:pPr>
      <w:r/>
      <w:r>
        <w:rPr>
          <w:b/>
        </w:rPr>
        <w:t>Language matters:</w:t>
      </w:r>
      <w:r>
        <w:t xml:space="preserve"> Outlets differ on terms like “assigned at birth,” “biological male,” or “transgender athlete,” and those choices shape public perception. </w:t>
      </w:r>
      <w:r/>
    </w:p>
    <w:p>
      <w:pPr>
        <w:pStyle w:val="ListBullet"/>
        <w:spacing w:line="240" w:lineRule="auto"/>
        <w:ind w:left="720"/>
      </w:pPr>
      <w:r/>
      <w:r>
        <w:rPr>
          <w:b/>
        </w:rPr>
        <w:t>Numbers vs impact:</w:t>
      </w:r>
      <w:r>
        <w:t xml:space="preserve"> Even if trans athletes are a small share of competitors, contested races and injuries make the stakes vivid for affected girls and parents. </w:t>
      </w:r>
      <w:r/>
    </w:p>
    <w:p>
      <w:pPr>
        <w:pStyle w:val="ListBullet"/>
        <w:spacing w:line="240" w:lineRule="auto"/>
        <w:ind w:left="720"/>
      </w:pPr>
      <w:r/>
      <w:r>
        <w:rPr>
          <w:b/>
        </w:rPr>
        <w:t>Media split:</w:t>
      </w:r>
      <w:r>
        <w:t xml:space="preserve"> Broadcasters and papers offered contrasting frames , some emphasised civil‑rights and inclusion, others focused on fairness for female athletes. </w:t>
      </w:r>
      <w:r/>
    </w:p>
    <w:p>
      <w:pPr>
        <w:pStyle w:val="ListBullet"/>
        <w:spacing w:line="240" w:lineRule="auto"/>
        <w:ind w:left="720"/>
      </w:pPr>
      <w:r/>
      <w:r>
        <w:rPr>
          <w:b/>
        </w:rPr>
        <w:t>What to watch:</w:t>
      </w:r>
      <w:r>
        <w:t xml:space="preserve"> Expect state athletic associations, school boards and new legislation to follow, and pay attention to how local reporting covers individual students’ stories.</w:t>
      </w:r>
      <w:r/>
      <w:r/>
    </w:p>
    <w:p>
      <w:pPr>
        <w:pStyle w:val="Heading2"/>
      </w:pPr>
      <w:r>
        <w:t>What the court decided and why it landed hard in headlines</w:t>
      </w:r>
      <w:r/>
    </w:p>
    <w:p>
      <w:r/>
      <w:r>
        <w:t>The ruling affirmed that states can enforce sex‑segregated categories in school sports, and that decision landed squarely in national newsrooms. Reuters and major outlets gave the legal logic plenty of space, while broadcast anchors wrestled with terminology and tone. Coverage varied from technical legal analysis to humanised reporting about students who brought suits, and that mix is why people feel both informed and unsettled. If you want clarity, read the decision’s summary for the law, then local reporting for the human details.</w:t>
      </w:r>
      <w:r/>
    </w:p>
    <w:p>
      <w:pPr>
        <w:pStyle w:val="Heading2"/>
      </w:pPr>
      <w:r>
        <w:t>Why words like “biological” and “assigned at birth” are fought over</w:t>
      </w:r>
      <w:r/>
    </w:p>
    <w:p>
      <w:r/>
      <w:r>
        <w:t>Reporters are choosing labels that carry weight , “biological male,” “assigned male at birth,” “transgender athlete” , and those choices aren’t neutral. Language can either centre a student’s identity or frame the debate as a matter of biological advantage. According to multiple news reports, anchors openly debated the correct phrasing on air, which shows how fraught the conversation is. When you read a report, note the wording: it signals whether the piece is prioritising legal categories, lived experience, or competitive fairness.</w:t>
      </w:r>
      <w:r/>
    </w:p>
    <w:p>
      <w:pPr>
        <w:pStyle w:val="Heading2"/>
      </w:pPr>
      <w:r>
        <w:t>The small numbers argument , and why it still hurts on the track or in the pool</w:t>
      </w:r>
      <w:r/>
    </w:p>
    <w:p>
      <w:r/>
      <w:r>
        <w:t>News outlets have pointed out that openly transgender athletes are a tiny fraction of competitors, but that statistic doesn’t comfort athletes who lost events or were injured in contests. Reporters have amplified both sides: advocates who stress inclusion and anti‑trans voices who stress safety and fairness. For parents and coaches, the practical question is simple , how will rosters, tryouts and safety protocols change this season? Look to local education boards and state high‑school associations for the immediate answers.</w:t>
      </w:r>
      <w:r/>
    </w:p>
    <w:p>
      <w:pPr>
        <w:pStyle w:val="Heading2"/>
      </w:pPr>
      <w:r>
        <w:t>Coverage biases and how different outlets framed the story</w:t>
      </w:r>
      <w:r/>
    </w:p>
    <w:p>
      <w:r/>
      <w:r>
        <w:t>Some national outlets emphasised civil‑rights implications and the decision’s emotional impact on trans students, while others foregrounded the experiences of female athletes and legal arguments about sex‑based categories. That split is visible across TV, print and online reporting, with tone shifts depending on whether a piece quoted activists, coaches, or teammates. If you want a balanced view, consume a mix of legal analysis, local profiles and data‑driven pieces rather than relying on a single headline.</w:t>
      </w:r>
      <w:r/>
    </w:p>
    <w:p>
      <w:pPr>
        <w:pStyle w:val="Heading2"/>
      </w:pPr>
      <w:r>
        <w:t>Practical steps for readers, parents and school officials</w:t>
      </w:r>
      <w:r/>
    </w:p>
    <w:p>
      <w:r/>
      <w:r>
        <w:t>If you’re a parent or school leader, start by checking your state athletic association’s guidance and your district’s policy updates , many will be revising rules immediately. Ask schools how they’ll handle locker rooms, team tryouts and appeals, and what safety measures are in place. For readers, scrutinise headlines and look for explicit sourcing , who’s quoted, and what evidence do they cite? A short checklist helps: verify the law, check local policy, and prioritise the wellbeing of all students in any local debate.</w:t>
      </w:r>
      <w:r/>
    </w:p>
    <w:p>
      <w:r/>
      <w:r>
        <w:t>It's a small but consequential change in how schools manage sport, and how the media covers it will shape public understanding for years.</w:t>
      </w:r>
      <w:r/>
    </w:p>
    <w:p>
      <w:pPr>
        <w:pStyle w:val="Heading3"/>
      </w:pPr>
      <w:r>
        <w:t>Source Reference Map</w:t>
      </w:r>
      <w:r/>
    </w:p>
    <w:p>
      <w:r/>
      <w:r>
        <w:rPr>
          <w:b/>
        </w:rPr>
        <w:t>Story idea inspired by:</w:t>
      </w:r>
      <w:r>
        <w:t xml:space="preserve"> </w:t>
      </w:r>
      <w:hyperlink r:id="rId9">
        <w:r>
          <w:rPr>
            <w:color w:val="0000EE"/>
            <w:u w:val="single"/>
          </w:rPr>
          <w:t>[1]</w:t>
        </w:r>
      </w:hyperlink>
      <w:r/>
    </w:p>
    <w:p>
      <w:r/>
      <w:r>
        <w:rPr>
          <w:b/>
        </w:rPr>
        <w:t>Sources by paragraph:</w:t>
      </w:r>
      <w:r>
        <w:t xml:space="preserve">- Paragraph 1: </w:t>
      </w:r>
      <w:hyperlink r:id="rId10">
        <w:r>
          <w:rPr>
            <w:color w:val="0000EE"/>
            <w:u w:val="single"/>
          </w:rPr>
          <w:t>[2]</w:t>
        </w:r>
      </w:hyperlink>
      <w:r>
        <w:t xml:space="preserve">, </w:t>
      </w:r>
      <w:hyperlink r:id="rId11">
        <w:r>
          <w:rPr>
            <w:color w:val="0000EE"/>
            <w:u w:val="single"/>
          </w:rPr>
          <w:t>[3]</w:t>
        </w:r>
      </w:hyperlink>
      <w:r>
        <w:t xml:space="preserve">- Paragraph 2: </w:t>
      </w:r>
      <w:hyperlink r:id="rId11">
        <w:r>
          <w:rPr>
            <w:color w:val="0000EE"/>
            <w:u w:val="single"/>
          </w:rPr>
          <w:t>[3]</w:t>
        </w:r>
      </w:hyperlink>
      <w:r>
        <w:t xml:space="preserve">, </w:t>
      </w:r>
      <w:hyperlink r:id="rId12">
        <w:r>
          <w:rPr>
            <w:color w:val="0000EE"/>
            <w:u w:val="single"/>
          </w:rPr>
          <w:t>[4]</w:t>
        </w:r>
      </w:hyperlink>
      <w:r>
        <w:t xml:space="preserve">- Paragraph 3: </w:t>
      </w:r>
      <w:hyperlink r:id="rId9">
        <w:r>
          <w:rPr>
            <w:color w:val="0000EE"/>
            <w:u w:val="single"/>
          </w:rPr>
          <w:t>[1]</w:t>
        </w:r>
      </w:hyperlink>
      <w:r>
        <w:t xml:space="preserve">, </w:t>
      </w:r>
      <w:hyperlink r:id="rId13">
        <w:r>
          <w:rPr>
            <w:color w:val="0000EE"/>
            <w:u w:val="single"/>
          </w:rPr>
          <w:t>[6]</w:t>
        </w:r>
      </w:hyperlink>
      <w:r>
        <w:t xml:space="preserve">- Paragraph 4: </w:t>
      </w:r>
      <w:hyperlink r:id="rId9">
        <w:r>
          <w:rPr>
            <w:color w:val="0000EE"/>
            <w:u w:val="single"/>
          </w:rPr>
          <w:t>[1]</w:t>
        </w:r>
      </w:hyperlink>
      <w:r>
        <w:t xml:space="preserve">, </w:t>
      </w:r>
      <w:hyperlink r:id="rId12">
        <w:r>
          <w:rPr>
            <w:color w:val="0000EE"/>
            <w:u w:val="single"/>
          </w:rPr>
          <w:t>[4]</w:t>
        </w:r>
      </w:hyperlink>
      <w:r>
        <w:t xml:space="preserve">- Paragraph 5: </w:t>
      </w:r>
      <w:hyperlink r:id="rId14">
        <w:r>
          <w:rPr>
            <w:color w:val="0000EE"/>
            <w:u w:val="single"/>
          </w:rPr>
          <w:t>[5]</w:t>
        </w:r>
      </w:hyperlink>
      <w:r>
        <w:t xml:space="preserve">, </w:t>
      </w:r>
      <w:hyperlink r:id="rId10">
        <w:r>
          <w:rPr>
            <w:color w:val="0000EE"/>
            <w:u w:val="single"/>
          </w:rPr>
          <w:t>[2]</w:t>
        </w:r>
      </w:hyperlink>
      <w:r/>
    </w:p>
    <w:p>
      <w:pPr>
        <w:pStyle w:val="Heading2"/>
      </w:pPr>
      <w:r>
        <w:t>Bibliography</w:t>
      </w:r>
      <w:r/>
      <w:r/>
    </w:p>
    <w:p>
      <w:pPr>
        <w:pStyle w:val="ListNumber"/>
        <w:numPr>
          <w:ilvl w:val="0"/>
          <w:numId w:val="14"/>
        </w:numPr>
        <w:spacing w:line="240" w:lineRule="auto"/>
        <w:ind w:left="720"/>
      </w:pPr>
      <w:r/>
      <w:hyperlink r:id="rId9">
        <w:r>
          <w:rPr>
            <w:color w:val="0000EE"/>
            <w:u w:val="single"/>
          </w:rPr>
          <w:t>https://www.frontpagemag.com/the-media-eagerly-takes-the-wrong-side-of-the-facts-on-girls-sports/</w:t>
        </w:r>
      </w:hyperlink>
      <w:r>
        <w:t xml:space="preserve"> - Please view link - unable to able to access data</w:t>
      </w:r>
      <w:r/>
    </w:p>
    <w:p>
      <w:pPr>
        <w:pStyle w:val="ListNumber"/>
        <w:spacing w:line="240" w:lineRule="auto"/>
        <w:ind w:left="720"/>
      </w:pPr>
      <w:r/>
      <w:hyperlink r:id="rId10">
        <w:r>
          <w:rPr>
            <w:color w:val="0000EE"/>
            <w:u w:val="single"/>
          </w:rPr>
          <w:t>https://www.apnews.com/article/bee8b140eb642acd53942c11f03993b6</w:t>
        </w:r>
      </w:hyperlink>
      <w:r>
        <w:t xml:space="preserve"> - Two transgender girls, Parker Tirrell and Iris Turmelle, withdrew their lawsuit challenging former President Donald Trump's executive order, 'Keeping Men Out of Women's Sports,' and New Hampshire's state law banning transgender girls from participating in school sports. Their decision followed a recent U.S. Supreme Court ruling upholding similar state bans in Idaho and West Virginia, determining that such bans do not violate Title IX. The teens' lawyer emphasized the emotional toll the case took and highlighted the courage of the girls in confronting discriminatory laws.</w:t>
      </w:r>
      <w:r/>
    </w:p>
    <w:p>
      <w:pPr>
        <w:pStyle w:val="ListNumber"/>
        <w:spacing w:line="240" w:lineRule="auto"/>
        <w:ind w:left="720"/>
      </w:pPr>
      <w:r/>
      <w:hyperlink r:id="rId11">
        <w:r>
          <w:rPr>
            <w:color w:val="0000EE"/>
            <w:u w:val="single"/>
          </w:rPr>
          <w:t>https://www.nbcnews.com/news/us-news/supreme-court-hears-case-transgender-athletes-school-sports-rcna12345</w:t>
        </w:r>
      </w:hyperlink>
      <w:r>
        <w:t xml:space="preserve"> - The Supreme Court heard arguments over state laws barring transgender girls and women from playing on school athletic teams. Lower courts had ruled in favor of the transgender athletes in Idaho and West Virginia who challenged the state bans, but the conservative-dominated Supreme Court gave no indication after more than three hours of arguments that it would follow suit. The justices are evaluating claims of sex discrimination lodged by transgender people versus the need for fair competition for women and girls, the main argument made by the states.</w:t>
      </w:r>
      <w:r/>
    </w:p>
    <w:p>
      <w:pPr>
        <w:pStyle w:val="ListNumber"/>
        <w:spacing w:line="240" w:lineRule="auto"/>
        <w:ind w:left="720"/>
      </w:pPr>
      <w:r/>
      <w:hyperlink r:id="rId12">
        <w:r>
          <w:rPr>
            <w:color w:val="0000EE"/>
            <w:u w:val="single"/>
          </w:rPr>
          <w:t>https://www.axios.com/2026/06/30/supreme-court-transgender-sports-ban-ruling</w:t>
        </w:r>
      </w:hyperlink>
      <w:r>
        <w:t xml:space="preserve"> - On June 30, 2026, the U.S. Supreme Court ruled that states are allowed to ban transgender girls from participating in girls' school sports teams, marking a major legal victory for conservative-led efforts to limit transgender rights. The decision in the case West Virginia v. B.P.J. determined that such state bans do not violate Title IX or the Equal Protection Clause of the Constitution. The case centered around 16-year-old Becky Pepper-Jackson, who challenged the West Virginia law after it was enacted just before she began sixth grade.</w:t>
      </w:r>
      <w:r/>
    </w:p>
    <w:p>
      <w:pPr>
        <w:pStyle w:val="ListNumber"/>
        <w:spacing w:line="240" w:lineRule="auto"/>
        <w:ind w:left="720"/>
      </w:pPr>
      <w:r/>
      <w:hyperlink r:id="rId14">
        <w:r>
          <w:rPr>
            <w:color w:val="0000EE"/>
            <w:u w:val="single"/>
          </w:rPr>
          <w:t>https://www.axios.com/local/phoenix/2026/06/30/supreme-court-rulings-arizona-birthright-citizenship-transgender-athletes</w:t>
        </w:r>
      </w:hyperlink>
      <w:r>
        <w:t xml:space="preserve"> - The U.S. Supreme Court issued key rulings that could significantly affect Arizona. It upheld laws in Idaho and West Virginia that ban transgender girls from participating in girls' sports, a decision that may influence similar policies in Arizona. Additionally, the court struck down a previous executive order that denied birthright citizenship to children born in the U.S. to undocumented immigrants, reaffirming the Fourteenth Amendment. These decisions come amid growing legal debates in Arizona, as the Supreme Court also agreed to hear cases concerning the state's laws on requiring proof of citizenship for voter registration and the methods used to remove individuals from voter rolls if their citizenship cannot be confirmed.</w:t>
      </w:r>
      <w:r/>
    </w:p>
    <w:p>
      <w:pPr>
        <w:pStyle w:val="ListNumber"/>
        <w:spacing w:line="240" w:lineRule="auto"/>
        <w:ind w:left="720"/>
      </w:pPr>
      <w:r/>
      <w:hyperlink r:id="rId13">
        <w:r>
          <w:rPr>
            <w:color w:val="0000EE"/>
            <w:u w:val="single"/>
          </w:rPr>
          <w:t>https://www.apnews.com/article/e01548be1fc0f574d9c274e077414075</w:t>
        </w:r>
      </w:hyperlink>
      <w:r>
        <w:t xml:space="preserve"> - On June 30, 2026, the U.S. Supreme Court upheld state laws in Idaho and West Virginia that ban transgender girls and women from participating on school athletic teams designated for females. The 6-3 decision, led by the court's conservative majority, ruled that such bans do not violate the Constitution or Title IX, which prohibits sex-based discrimination in education. Justice Brett Kavanaugh stated that the laws are intended to preserve fairness and safety in women’s sports. Justice Sonia Sotomayor dissented, arguing that scientific uncertainty should prevent the exclusion of transgender students like 16-year-old Becky Pepper-Jackson, who has transitioned and won a state championship in shot put.</w:t>
      </w:r>
      <w:r/>
    </w:p>
    <w:p>
      <w:pPr>
        <w:pStyle w:val="ListNumber"/>
        <w:spacing w:line="240" w:lineRule="auto"/>
        <w:ind w:left="720"/>
      </w:pPr>
      <w:r/>
      <w:hyperlink r:id="rId9">
        <w:r>
          <w:rPr>
            <w:color w:val="0000EE"/>
            <w:u w:val="single"/>
          </w:rPr>
          <w:t>https://www.frontpagemag.com/the-media-eagerly-takes-the-wrong-side-of-the-facts-on-girls-sports/</w:t>
        </w:r>
      </w:hyperlink>
      <w:r>
        <w:t xml:space="preserve"> - The article discusses how journalists, who often claim to be 'facts first' individuals, have been accused of misrepresenting the issue of transgender athletes in girls' sports. It highlights instances where media outlets have used terms like 'biological male' and 'biological female' in quotation marks, suggesting a lack of clarity or agreement on these terms. The piece also addresses the portrayal of transgender athletes as a 'tiny slice' of competing students and the challenges faced by cisgender girls who compete against transgender athletes. The author criticizes the media's handling of the terminology and the broader cultural implications of the debate.</w:t>
      </w:r>
      <w:r/>
    </w:p>
    <w:sectPr w:rsidR="008F16EB" w:rsidRPr="008F16EB" w:rsidSect="0003461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Franklin Gothic Book">
    <w:panose1 w:val="020B0503020102020204"/>
    <w:charset w:val="00"/>
    <w:family w:val="swiss"/>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notTrueType/>
    <w:pitch w:val="fixed"/>
    <w:sig w:usb0="E00002FF" w:usb1="6AC7FDFB" w:usb2="08000012" w:usb3="00000000" w:csb0="0002009F" w:csb1="00000000"/>
  </w:font>
  <w:font w:name="Courier">
    <w:altName w:val="Courier New"/>
    <w:panose1 w:val="020703090202050204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79911088"/>
    <w:multiLevelType w:val="hybridMultilevel"/>
    <w:tmpl w:val="B89254AA"/>
    <w:lvl w:ilvl="0" w:tplc="5ED0EE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83565639">
    <w:abstractNumId w:val="8"/>
  </w:num>
  <w:num w:numId="2" w16cid:durableId="1689715716">
    <w:abstractNumId w:val="6"/>
  </w:num>
  <w:num w:numId="3" w16cid:durableId="1422219261">
    <w:abstractNumId w:val="5"/>
  </w:num>
  <w:num w:numId="4" w16cid:durableId="1639651746">
    <w:abstractNumId w:val="4"/>
  </w:num>
  <w:num w:numId="5" w16cid:durableId="268244051">
    <w:abstractNumId w:val="7"/>
  </w:num>
  <w:num w:numId="6" w16cid:durableId="527262389">
    <w:abstractNumId w:val="3"/>
  </w:num>
  <w:num w:numId="7" w16cid:durableId="2116093898">
    <w:abstractNumId w:val="2"/>
  </w:num>
  <w:num w:numId="8" w16cid:durableId="1487162739">
    <w:abstractNumId w:val="1"/>
  </w:num>
  <w:num w:numId="9" w16cid:durableId="1639265226">
    <w:abstractNumId w:val="0"/>
  </w:num>
  <w:num w:numId="10" w16cid:durableId="495808350">
    <w:abstractNumId w:val="7"/>
    <w:lvlOverride w:ilvl="0">
      <w:startOverride w:val="1"/>
    </w:lvlOverride>
  </w:num>
  <w:num w:numId="11" w16cid:durableId="1894850684">
    <w:abstractNumId w:val="9"/>
  </w:num>
  <w:num w:numId="12" w16cid:durableId="1467312115">
    <w:abstractNumId w:val="9"/>
  </w:num>
  <w:num w:numId="13" w16cid:durableId="1615862868">
    <w:abstractNumId w:val="9"/>
  </w:num>
  <w:num w:numId="14">
    <w:abstractNumId w:val="7"/>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attachedTemplate r:id="rId1"/>
  <w:defaultTabStop w:val="720"/>
  <w:defaultTableStyle w:val="Noah"/>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3E31"/>
    <w:rsid w:val="00034616"/>
    <w:rsid w:val="0006063C"/>
    <w:rsid w:val="0015074B"/>
    <w:rsid w:val="0029639D"/>
    <w:rsid w:val="00326F90"/>
    <w:rsid w:val="00327C26"/>
    <w:rsid w:val="006072D1"/>
    <w:rsid w:val="00641096"/>
    <w:rsid w:val="00733E31"/>
    <w:rsid w:val="00782A44"/>
    <w:rsid w:val="007D0B83"/>
    <w:rsid w:val="008F16EB"/>
    <w:rsid w:val="00920A5B"/>
    <w:rsid w:val="00AA1D8D"/>
    <w:rsid w:val="00B47730"/>
    <w:rsid w:val="00CB0664"/>
    <w:rsid w:val="00F369D9"/>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2B5D908"/>
  <w14:defaultImageDpi w14:val="300"/>
  <w15:docId w15:val="{AFAB448B-A191-DB46-889A-C1A710B4FE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Georgia" w:hAnsi="Georgia" w:cs="Georgia"/>
        <w:sz w:val="22"/>
        <w:szCs w:val="22"/>
        <w:lang w:val="en-US" w:eastAsia="en-US" w:bidi="ar-SA"/>
      </w:rPr>
    </w:rPrDefault>
    <w:pPrDefault>
      <w:pPr>
        <w:spacing w:after="160"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41096"/>
  </w:style>
  <w:style w:type="paragraph" w:styleId="Heading1">
    <w:name w:val="heading 1"/>
    <w:basedOn w:val="Normal"/>
    <w:next w:val="Normal"/>
    <w:link w:val="Heading1Char"/>
    <w:uiPriority w:val="9"/>
    <w:qFormat/>
    <w:rsid w:val="00641096"/>
    <w:pPr>
      <w:keepNext/>
      <w:keepLines/>
      <w:spacing w:before="240" w:after="160" w:line="240" w:lineRule="auto"/>
      <w:outlineLvl w:val="0"/>
    </w:pPr>
    <w:rPr>
      <w:rFonts w:ascii="Georgia" w:hAnsi="Georgia" w:cs="Georgia"/>
      <w:b/>
      <w:bCs/>
      <w:color w:val="1C1917"/>
      <w:sz w:val="52"/>
      <w:szCs w:val="52"/>
      <w:w w:val="90"/>
    </w:rPr>
  </w:style>
  <w:style w:type="paragraph" w:styleId="Heading2">
    <w:name w:val="heading 2"/>
    <w:basedOn w:val="Normal"/>
    <w:next w:val="Normal"/>
    <w:link w:val="Heading2Char"/>
    <w:uiPriority w:val="9"/>
    <w:unhideWhenUsed/>
    <w:qFormat/>
    <w:rsid w:val="00641096"/>
    <w:pPr>
      <w:keepNext/>
      <w:keepLines/>
      <w:spacing w:before="400" w:after="120"/>
      <w:outlineLvl w:val="1"/>
    </w:pPr>
    <w:rPr>
      <w:rFonts w:ascii="Georgia" w:hAnsi="Georgia" w:cs="Georgia"/>
      <w:b/>
      <w:bCs/>
      <w:color w:val="1C1917"/>
      <w:sz w:val="36"/>
      <w:szCs w:val="36"/>
      <w:w w:val="90"/>
    </w:rPr>
  </w:style>
  <w:style w:type="paragraph" w:styleId="Heading3">
    <w:name w:val="heading 3"/>
    <w:basedOn w:val="Normal"/>
    <w:next w:val="Normal"/>
    <w:link w:val="Heading3Char"/>
    <w:uiPriority w:val="9"/>
    <w:unhideWhenUsed/>
    <w:qFormat/>
    <w:rsid w:val="00641096"/>
    <w:pPr>
      <w:keepNext/>
      <w:keepLines/>
      <w:spacing w:before="320" w:after="80"/>
      <w:outlineLvl w:val="2"/>
    </w:pPr>
    <w:rPr>
      <w:rFonts w:ascii="Georgia" w:hAnsi="Georgia" w:cs="Georgia"/>
      <w:b/>
      <w:bCs/>
      <w:color w:val="374151"/>
      <w:sz w:val="28"/>
      <w:szCs w:val="28"/>
      <w:w w:val="90"/>
    </w:rPr>
  </w:style>
  <w:style w:type="paragraph" w:styleId="Heading4">
    <w:name w:val="heading 4"/>
    <w:basedOn w:val="Normal"/>
    <w:next w:val="Normal"/>
    <w:link w:val="Heading4Char"/>
    <w:uiPriority w:val="9"/>
    <w:semiHidden/>
    <w:unhideWhenUsed/>
    <w:qFormat/>
    <w:rsid w:val="00641096"/>
    <w:pPr>
      <w:keepNext/>
      <w:keepLines/>
      <w:spacing w:before="200" w:after="0"/>
      <w:outlineLvl w:val="3"/>
    </w:pPr>
    <w:rPr>
      <w:rFonts w:asciiTheme="majorHAnsi" w:eastAsiaTheme="majorEastAsia" w:hAnsiTheme="majorHAnsi" w:cstheme="majorBidi"/>
      <w:b/>
      <w:bCs/>
      <w:i/>
      <w:iCs/>
      <w:color w:val="156082" w:themeColor="accent1"/>
    </w:rPr>
  </w:style>
  <w:style w:type="paragraph" w:styleId="Heading5">
    <w:name w:val="heading 5"/>
    <w:basedOn w:val="Normal"/>
    <w:next w:val="Normal"/>
    <w:link w:val="Heading5Char"/>
    <w:uiPriority w:val="9"/>
    <w:semiHidden/>
    <w:unhideWhenUsed/>
    <w:qFormat/>
    <w:rsid w:val="00641096"/>
    <w:pPr>
      <w:keepNext/>
      <w:keepLines/>
      <w:spacing w:before="200" w:after="0"/>
      <w:outlineLvl w:val="4"/>
    </w:pPr>
    <w:rPr>
      <w:rFonts w:asciiTheme="majorHAnsi" w:eastAsiaTheme="majorEastAsia" w:hAnsiTheme="majorHAnsi" w:cstheme="majorBidi"/>
      <w:color w:val="0A2F40" w:themeColor="accent1" w:themeShade="7F"/>
    </w:rPr>
  </w:style>
  <w:style w:type="paragraph" w:styleId="Heading6">
    <w:name w:val="heading 6"/>
    <w:basedOn w:val="Normal"/>
    <w:next w:val="Normal"/>
    <w:link w:val="Heading6Char"/>
    <w:uiPriority w:val="9"/>
    <w:semiHidden/>
    <w:unhideWhenUsed/>
    <w:qFormat/>
    <w:rsid w:val="00641096"/>
    <w:pPr>
      <w:keepNext/>
      <w:keepLines/>
      <w:spacing w:before="200" w:after="0"/>
      <w:outlineLvl w:val="5"/>
    </w:pPr>
    <w:rPr>
      <w:rFonts w:asciiTheme="majorHAnsi" w:eastAsiaTheme="majorEastAsia" w:hAnsiTheme="majorHAnsi" w:cstheme="majorBidi"/>
      <w:i/>
      <w:iCs/>
      <w:color w:val="0A2F40" w:themeColor="accent1" w:themeShade="7F"/>
    </w:rPr>
  </w:style>
  <w:style w:type="paragraph" w:styleId="Heading7">
    <w:name w:val="heading 7"/>
    <w:basedOn w:val="Normal"/>
    <w:next w:val="Normal"/>
    <w:link w:val="Heading7Char"/>
    <w:uiPriority w:val="9"/>
    <w:semiHidden/>
    <w:unhideWhenUsed/>
    <w:qFormat/>
    <w:rsid w:val="00641096"/>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641096"/>
    <w:pPr>
      <w:keepNext/>
      <w:keepLines/>
      <w:spacing w:before="200" w:after="0"/>
      <w:outlineLvl w:val="7"/>
    </w:pPr>
    <w:rPr>
      <w:rFonts w:asciiTheme="majorHAnsi" w:eastAsiaTheme="majorEastAsia" w:hAnsiTheme="majorHAnsi" w:cstheme="majorBidi"/>
      <w:color w:val="156082" w:themeColor="accent1"/>
      <w:sz w:val="20"/>
      <w:szCs w:val="20"/>
    </w:rPr>
  </w:style>
  <w:style w:type="paragraph" w:styleId="Heading9">
    <w:name w:val="heading 9"/>
    <w:basedOn w:val="Normal"/>
    <w:next w:val="Normal"/>
    <w:link w:val="Heading9Char"/>
    <w:uiPriority w:val="9"/>
    <w:semiHidden/>
    <w:unhideWhenUsed/>
    <w:qFormat/>
    <w:rsid w:val="00641096"/>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link w:val="NoSpacingChar"/>
    <w:uiPriority w:val="1"/>
    <w:qFormat/>
    <w:rsid w:val="00641096"/>
    <w:pPr>
      <w:spacing w:after="0" w:line="240" w:lineRule="auto"/>
    </w:pPr>
  </w:style>
  <w:style w:type="character" w:customStyle="1" w:styleId="Heading1Char">
    <w:name w:val="Heading 1 Char"/>
    <w:basedOn w:val="DefaultParagraphFont"/>
    <w:link w:val="Heading1"/>
    <w:uiPriority w:val="9"/>
    <w:rsid w:val="00641096"/>
    <w:rPr>
      <w:rFonts w:asciiTheme="majorHAnsi" w:eastAsiaTheme="majorEastAsia" w:hAnsiTheme="majorHAnsi" w:cstheme="majorBidi"/>
      <w:b/>
      <w:bCs/>
      <w:color w:val="0F4761" w:themeColor="accent1" w:themeShade="BF"/>
      <w:sz w:val="28"/>
      <w:szCs w:val="28"/>
    </w:rPr>
  </w:style>
  <w:style w:type="character" w:customStyle="1" w:styleId="Heading2Char">
    <w:name w:val="Heading 2 Char"/>
    <w:basedOn w:val="DefaultParagraphFont"/>
    <w:link w:val="Heading2"/>
    <w:uiPriority w:val="9"/>
    <w:rsid w:val="00641096"/>
    <w:rPr>
      <w:rFonts w:asciiTheme="majorHAnsi" w:eastAsiaTheme="majorEastAsia" w:hAnsiTheme="majorHAnsi" w:cstheme="majorBidi"/>
      <w:b/>
      <w:bCs/>
      <w:color w:val="156082" w:themeColor="accent1"/>
      <w:sz w:val="26"/>
      <w:szCs w:val="26"/>
    </w:rPr>
  </w:style>
  <w:style w:type="character" w:customStyle="1" w:styleId="Heading3Char">
    <w:name w:val="Heading 3 Char"/>
    <w:basedOn w:val="DefaultParagraphFont"/>
    <w:link w:val="Heading3"/>
    <w:uiPriority w:val="9"/>
    <w:rsid w:val="00641096"/>
    <w:rPr>
      <w:rFonts w:asciiTheme="majorHAnsi" w:eastAsiaTheme="majorEastAsia" w:hAnsiTheme="majorHAnsi" w:cstheme="majorBidi"/>
      <w:b/>
      <w:bCs/>
      <w:color w:val="156082" w:themeColor="accent1"/>
    </w:rPr>
  </w:style>
  <w:style w:type="paragraph" w:styleId="Title">
    <w:name w:val="Title"/>
    <w:basedOn w:val="Normal"/>
    <w:next w:val="Normal"/>
    <w:link w:val="TitleChar"/>
    <w:uiPriority w:val="10"/>
    <w:qFormat/>
    <w:rsid w:val="00641096"/>
    <w:pPr>
      <w:pBdr>
        <w:bottom w:val="single" w:sz="8" w:space="4" w:color="156082" w:themeColor="accent1"/>
      </w:pBdr>
      <w:spacing w:after="300" w:line="240" w:lineRule="auto"/>
      <w:contextualSpacing/>
    </w:pPr>
    <w:rPr>
      <w:rFonts w:asciiTheme="majorHAnsi" w:eastAsiaTheme="majorEastAsia" w:hAnsiTheme="majorHAnsi" w:cstheme="majorBidi"/>
      <w:color w:val="0A1D30" w:themeColor="text2" w:themeShade="BF"/>
      <w:spacing w:val="5"/>
      <w:kern w:val="28"/>
      <w:sz w:val="52"/>
      <w:szCs w:val="52"/>
    </w:rPr>
  </w:style>
  <w:style w:type="character" w:customStyle="1" w:styleId="TitleChar">
    <w:name w:val="Title Char"/>
    <w:basedOn w:val="DefaultParagraphFont"/>
    <w:link w:val="Title"/>
    <w:uiPriority w:val="10"/>
    <w:rsid w:val="00641096"/>
    <w:rPr>
      <w:rFonts w:asciiTheme="majorHAnsi" w:eastAsiaTheme="majorEastAsia" w:hAnsiTheme="majorHAnsi" w:cstheme="majorBidi"/>
      <w:color w:val="0A1D30" w:themeColor="text2" w:themeShade="BF"/>
      <w:spacing w:val="5"/>
      <w:kern w:val="28"/>
      <w:sz w:val="52"/>
      <w:szCs w:val="52"/>
    </w:rPr>
  </w:style>
  <w:style w:type="paragraph" w:styleId="Subtitle">
    <w:name w:val="Subtitle"/>
    <w:basedOn w:val="Normal"/>
    <w:next w:val="Normal"/>
    <w:link w:val="SubtitleChar"/>
    <w:uiPriority w:val="11"/>
    <w:qFormat/>
    <w:rsid w:val="00641096"/>
    <w:pPr>
      <w:numPr>
        <w:ilvl w:val="1"/>
      </w:numPr>
    </w:pPr>
    <w:rPr>
      <w:rFonts w:asciiTheme="majorHAnsi" w:eastAsiaTheme="majorEastAsia" w:hAnsiTheme="majorHAnsi" w:cstheme="majorBidi"/>
      <w:i/>
      <w:iCs/>
      <w:color w:val="156082" w:themeColor="accent1"/>
      <w:spacing w:val="15"/>
      <w:sz w:val="24"/>
      <w:szCs w:val="24"/>
    </w:rPr>
  </w:style>
  <w:style w:type="character" w:customStyle="1" w:styleId="SubtitleChar">
    <w:name w:val="Subtitle Char"/>
    <w:basedOn w:val="DefaultParagraphFont"/>
    <w:link w:val="Subtitle"/>
    <w:uiPriority w:val="11"/>
    <w:rsid w:val="00641096"/>
    <w:rPr>
      <w:rFonts w:asciiTheme="majorHAnsi" w:eastAsiaTheme="majorEastAsia" w:hAnsiTheme="majorHAnsi" w:cstheme="majorBidi"/>
      <w:i/>
      <w:iCs/>
      <w:color w:val="156082" w:themeColor="accent1"/>
      <w:spacing w:val="15"/>
      <w:sz w:val="24"/>
      <w:szCs w:val="24"/>
    </w:rPr>
  </w:style>
  <w:style w:type="paragraph" w:styleId="ListParagraph">
    <w:name w:val="List Paragraph"/>
    <w:basedOn w:val="Normal"/>
    <w:uiPriority w:val="34"/>
    <w:qFormat/>
    <w:rsid w:val="00641096"/>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641096"/>
    <w:rPr>
      <w:i/>
      <w:iCs/>
      <w:color w:val="000000" w:themeColor="text1"/>
    </w:rPr>
  </w:style>
  <w:style w:type="character" w:customStyle="1" w:styleId="QuoteChar">
    <w:name w:val="Quote Char"/>
    <w:basedOn w:val="DefaultParagraphFont"/>
    <w:link w:val="Quote"/>
    <w:uiPriority w:val="29"/>
    <w:rsid w:val="00641096"/>
    <w:rPr>
      <w:i/>
      <w:iCs/>
      <w:color w:val="000000" w:themeColor="text1"/>
    </w:rPr>
  </w:style>
  <w:style w:type="character" w:customStyle="1" w:styleId="Heading4Char">
    <w:name w:val="Heading 4 Char"/>
    <w:basedOn w:val="DefaultParagraphFont"/>
    <w:link w:val="Heading4"/>
    <w:uiPriority w:val="9"/>
    <w:semiHidden/>
    <w:rsid w:val="00641096"/>
    <w:rPr>
      <w:rFonts w:asciiTheme="majorHAnsi" w:eastAsiaTheme="majorEastAsia" w:hAnsiTheme="majorHAnsi" w:cstheme="majorBidi"/>
      <w:b/>
      <w:bCs/>
      <w:i/>
      <w:iCs/>
      <w:color w:val="156082" w:themeColor="accent1"/>
    </w:rPr>
  </w:style>
  <w:style w:type="character" w:customStyle="1" w:styleId="Heading5Char">
    <w:name w:val="Heading 5 Char"/>
    <w:basedOn w:val="DefaultParagraphFont"/>
    <w:link w:val="Heading5"/>
    <w:uiPriority w:val="9"/>
    <w:semiHidden/>
    <w:rsid w:val="00641096"/>
    <w:rPr>
      <w:rFonts w:asciiTheme="majorHAnsi" w:eastAsiaTheme="majorEastAsia" w:hAnsiTheme="majorHAnsi" w:cstheme="majorBidi"/>
      <w:color w:val="0A2F40" w:themeColor="accent1" w:themeShade="7F"/>
    </w:rPr>
  </w:style>
  <w:style w:type="character" w:customStyle="1" w:styleId="Heading6Char">
    <w:name w:val="Heading 6 Char"/>
    <w:basedOn w:val="DefaultParagraphFont"/>
    <w:link w:val="Heading6"/>
    <w:uiPriority w:val="9"/>
    <w:semiHidden/>
    <w:rsid w:val="00641096"/>
    <w:rPr>
      <w:rFonts w:asciiTheme="majorHAnsi" w:eastAsiaTheme="majorEastAsia" w:hAnsiTheme="majorHAnsi" w:cstheme="majorBidi"/>
      <w:i/>
      <w:iCs/>
      <w:color w:val="0A2F40" w:themeColor="accent1" w:themeShade="7F"/>
    </w:rPr>
  </w:style>
  <w:style w:type="character" w:customStyle="1" w:styleId="Heading7Char">
    <w:name w:val="Heading 7 Char"/>
    <w:basedOn w:val="DefaultParagraphFont"/>
    <w:link w:val="Heading7"/>
    <w:uiPriority w:val="9"/>
    <w:semiHidden/>
    <w:rsid w:val="00641096"/>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641096"/>
    <w:rPr>
      <w:rFonts w:asciiTheme="majorHAnsi" w:eastAsiaTheme="majorEastAsia" w:hAnsiTheme="majorHAnsi" w:cstheme="majorBidi"/>
      <w:color w:val="156082" w:themeColor="accent1"/>
      <w:sz w:val="20"/>
      <w:szCs w:val="20"/>
    </w:rPr>
  </w:style>
  <w:style w:type="character" w:customStyle="1" w:styleId="Heading9Char">
    <w:name w:val="Heading 9 Char"/>
    <w:basedOn w:val="DefaultParagraphFont"/>
    <w:link w:val="Heading9"/>
    <w:uiPriority w:val="9"/>
    <w:semiHidden/>
    <w:rsid w:val="00641096"/>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641096"/>
    <w:pPr>
      <w:spacing w:line="240" w:lineRule="auto"/>
    </w:pPr>
    <w:rPr>
      <w:b/>
      <w:bCs/>
      <w:color w:val="156082" w:themeColor="accent1"/>
      <w:sz w:val="18"/>
      <w:szCs w:val="18"/>
    </w:rPr>
  </w:style>
  <w:style w:type="character" w:styleId="Strong">
    <w:name w:val="Strong"/>
    <w:basedOn w:val="DefaultParagraphFont"/>
    <w:uiPriority w:val="22"/>
    <w:qFormat/>
    <w:rsid w:val="00641096"/>
    <w:rPr>
      <w:b/>
      <w:bCs/>
    </w:rPr>
  </w:style>
  <w:style w:type="character" w:styleId="Emphasis">
    <w:name w:val="Emphasis"/>
    <w:basedOn w:val="DefaultParagraphFont"/>
    <w:uiPriority w:val="20"/>
    <w:qFormat/>
    <w:rsid w:val="00641096"/>
    <w:rPr>
      <w:i/>
      <w:iCs/>
    </w:rPr>
  </w:style>
  <w:style w:type="paragraph" w:styleId="IntenseQuote">
    <w:name w:val="Intense Quote"/>
    <w:basedOn w:val="Normal"/>
    <w:next w:val="Normal"/>
    <w:link w:val="IntenseQuoteChar"/>
    <w:uiPriority w:val="30"/>
    <w:qFormat/>
    <w:rsid w:val="00641096"/>
    <w:pPr>
      <w:pBdr>
        <w:bottom w:val="single" w:sz="4" w:space="4" w:color="156082" w:themeColor="accent1"/>
      </w:pBdr>
      <w:spacing w:before="200" w:after="280"/>
      <w:ind w:left="936" w:right="936"/>
    </w:pPr>
    <w:rPr>
      <w:b/>
      <w:bCs/>
      <w:i/>
      <w:iCs/>
      <w:color w:val="156082" w:themeColor="accent1"/>
    </w:rPr>
  </w:style>
  <w:style w:type="character" w:customStyle="1" w:styleId="IntenseQuoteChar">
    <w:name w:val="Intense Quote Char"/>
    <w:basedOn w:val="DefaultParagraphFont"/>
    <w:link w:val="IntenseQuote"/>
    <w:uiPriority w:val="30"/>
    <w:rsid w:val="00641096"/>
    <w:rPr>
      <w:b/>
      <w:bCs/>
      <w:i/>
      <w:iCs/>
      <w:color w:val="156082" w:themeColor="accent1"/>
    </w:rPr>
  </w:style>
  <w:style w:type="character" w:styleId="SubtleEmphasis">
    <w:name w:val="Subtle Emphasis"/>
    <w:basedOn w:val="DefaultParagraphFont"/>
    <w:uiPriority w:val="19"/>
    <w:qFormat/>
    <w:rsid w:val="00641096"/>
    <w:rPr>
      <w:i/>
      <w:iCs/>
      <w:color w:val="808080" w:themeColor="text1" w:themeTint="7F"/>
    </w:rPr>
  </w:style>
  <w:style w:type="character" w:styleId="IntenseEmphasis">
    <w:name w:val="Intense Emphasis"/>
    <w:basedOn w:val="DefaultParagraphFont"/>
    <w:uiPriority w:val="21"/>
    <w:qFormat/>
    <w:rsid w:val="00641096"/>
    <w:rPr>
      <w:b/>
      <w:bCs/>
      <w:i/>
      <w:iCs/>
      <w:color w:val="156082" w:themeColor="accent1"/>
    </w:rPr>
  </w:style>
  <w:style w:type="character" w:styleId="SubtleReference">
    <w:name w:val="Subtle Reference"/>
    <w:basedOn w:val="DefaultParagraphFont"/>
    <w:uiPriority w:val="31"/>
    <w:qFormat/>
    <w:rsid w:val="00641096"/>
    <w:rPr>
      <w:smallCaps/>
      <w:color w:val="E97132" w:themeColor="accent2"/>
      <w:u w:val="single"/>
    </w:rPr>
  </w:style>
  <w:style w:type="character" w:styleId="IntenseReference">
    <w:name w:val="Intense Reference"/>
    <w:basedOn w:val="DefaultParagraphFont"/>
    <w:uiPriority w:val="32"/>
    <w:qFormat/>
    <w:rsid w:val="00641096"/>
    <w:rPr>
      <w:b/>
      <w:bCs/>
      <w:smallCaps/>
      <w:color w:val="E97132" w:themeColor="accent2"/>
      <w:spacing w:val="5"/>
      <w:u w:val="single"/>
    </w:rPr>
  </w:style>
  <w:style w:type="character" w:styleId="BookTitle">
    <w:name w:val="Book Title"/>
    <w:basedOn w:val="DefaultParagraphFont"/>
    <w:uiPriority w:val="33"/>
    <w:qFormat/>
    <w:rsid w:val="00641096"/>
    <w:rPr>
      <w:b/>
      <w:bCs/>
      <w:smallCaps/>
      <w:spacing w:val="5"/>
    </w:rPr>
  </w:style>
  <w:style w:type="paragraph" w:styleId="TOCHeading">
    <w:name w:val="TOC Heading"/>
    <w:basedOn w:val="Heading1"/>
    <w:next w:val="Normal"/>
    <w:uiPriority w:val="39"/>
    <w:semiHidden/>
    <w:unhideWhenUsed/>
    <w:qFormat/>
    <w:rsid w:val="00641096"/>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0F4761" w:themeColor="accent1" w:themeShade="BF"/>
    </w:rPr>
    <w:tblPr>
      <w:tblStyleRowBandSize w:val="1"/>
      <w:tblStyleColBandSize w:val="1"/>
      <w:tblBorders>
        <w:top w:val="single" w:sz="8" w:space="0" w:color="156082" w:themeColor="accent1"/>
        <w:bottom w:val="single" w:sz="8" w:space="0" w:color="156082" w:themeColor="accent1"/>
      </w:tblBorders>
    </w:tblPr>
    <w:tblStylePr w:type="fir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la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left w:val="nil"/>
          <w:right w:val="nil"/>
          <w:insideH w:val="nil"/>
          <w:insideV w:val="nil"/>
        </w:tcBorders>
        <w:shd w:val="clear" w:color="auto" w:fill="B2DEF2" w:themeFill="accent1" w:themeFillTint="3F"/>
      </w:tcPr>
    </w:tblStylePr>
  </w:style>
  <w:style w:type="table" w:styleId="LightShading-Accent2">
    <w:name w:val="Light Shading Accent 2"/>
    <w:basedOn w:val="TableNormal"/>
    <w:uiPriority w:val="60"/>
    <w:rsid w:val="00FC693F"/>
    <w:pPr>
      <w:spacing w:after="0" w:line="240" w:lineRule="auto"/>
    </w:pPr>
    <w:rPr>
      <w:color w:val="BF4E14" w:themeColor="accent2" w:themeShade="BF"/>
    </w:rPr>
    <w:tblPr>
      <w:tblStyleRowBandSize w:val="1"/>
      <w:tblStyleColBandSize w:val="1"/>
      <w:tblBorders>
        <w:top w:val="single" w:sz="8" w:space="0" w:color="E97132" w:themeColor="accent2"/>
        <w:bottom w:val="single" w:sz="8" w:space="0" w:color="E97132" w:themeColor="accent2"/>
      </w:tblBorders>
    </w:tblPr>
    <w:tblStylePr w:type="fir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la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left w:val="nil"/>
          <w:right w:val="nil"/>
          <w:insideH w:val="nil"/>
          <w:insideV w:val="nil"/>
        </w:tcBorders>
        <w:shd w:val="clear" w:color="auto" w:fill="F9DBCC" w:themeFill="accent2" w:themeFillTint="3F"/>
      </w:tcPr>
    </w:tblStylePr>
  </w:style>
  <w:style w:type="table" w:styleId="LightShading-Accent3">
    <w:name w:val="Light Shading Accent 3"/>
    <w:basedOn w:val="TableNormal"/>
    <w:uiPriority w:val="60"/>
    <w:rsid w:val="00FC693F"/>
    <w:pPr>
      <w:spacing w:after="0" w:line="240" w:lineRule="auto"/>
    </w:pPr>
    <w:rPr>
      <w:color w:val="124F1A" w:themeColor="accent3" w:themeShade="BF"/>
    </w:rPr>
    <w:tblPr>
      <w:tblStyleRowBandSize w:val="1"/>
      <w:tblStyleColBandSize w:val="1"/>
      <w:tblBorders>
        <w:top w:val="single" w:sz="8" w:space="0" w:color="196B24" w:themeColor="accent3"/>
        <w:bottom w:val="single" w:sz="8" w:space="0" w:color="196B24" w:themeColor="accent3"/>
      </w:tblBorders>
    </w:tblPr>
    <w:tblStylePr w:type="fir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la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left w:val="nil"/>
          <w:right w:val="nil"/>
          <w:insideH w:val="nil"/>
          <w:insideV w:val="nil"/>
        </w:tcBorders>
        <w:shd w:val="clear" w:color="auto" w:fill="B3EDBA" w:themeFill="accent3" w:themeFillTint="3F"/>
      </w:tcPr>
    </w:tblStylePr>
  </w:style>
  <w:style w:type="table" w:styleId="LightShading-Accent4">
    <w:name w:val="Light Shading Accent 4"/>
    <w:basedOn w:val="TableNormal"/>
    <w:uiPriority w:val="60"/>
    <w:rsid w:val="00FC693F"/>
    <w:pPr>
      <w:spacing w:after="0" w:line="240" w:lineRule="auto"/>
    </w:pPr>
    <w:rPr>
      <w:color w:val="0B769F" w:themeColor="accent4" w:themeShade="BF"/>
    </w:rPr>
    <w:tblPr>
      <w:tblStyleRowBandSize w:val="1"/>
      <w:tblStyleColBandSize w:val="1"/>
      <w:tblBorders>
        <w:top w:val="single" w:sz="8" w:space="0" w:color="0F9ED5" w:themeColor="accent4"/>
        <w:bottom w:val="single" w:sz="8" w:space="0" w:color="0F9ED5" w:themeColor="accent4"/>
      </w:tblBorders>
    </w:tblPr>
    <w:tblStylePr w:type="fir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la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left w:val="nil"/>
          <w:right w:val="nil"/>
          <w:insideH w:val="nil"/>
          <w:insideV w:val="nil"/>
        </w:tcBorders>
        <w:shd w:val="clear" w:color="auto" w:fill="BDE9FA" w:themeFill="accent4" w:themeFillTint="3F"/>
      </w:tcPr>
    </w:tblStylePr>
  </w:style>
  <w:style w:type="table" w:styleId="LightShading-Accent5">
    <w:name w:val="Light Shading Accent 5"/>
    <w:basedOn w:val="TableNormal"/>
    <w:uiPriority w:val="60"/>
    <w:rsid w:val="00FC693F"/>
    <w:pPr>
      <w:spacing w:after="0" w:line="240" w:lineRule="auto"/>
    </w:pPr>
    <w:rPr>
      <w:color w:val="77206D" w:themeColor="accent5" w:themeShade="BF"/>
    </w:rPr>
    <w:tblPr>
      <w:tblStyleRowBandSize w:val="1"/>
      <w:tblStyleColBandSize w:val="1"/>
      <w:tblBorders>
        <w:top w:val="single" w:sz="8" w:space="0" w:color="A02B93" w:themeColor="accent5"/>
        <w:bottom w:val="single" w:sz="8" w:space="0" w:color="A02B93" w:themeColor="accent5"/>
      </w:tblBorders>
    </w:tblPr>
    <w:tblStylePr w:type="fir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la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left w:val="nil"/>
          <w:right w:val="nil"/>
          <w:insideH w:val="nil"/>
          <w:insideV w:val="nil"/>
        </w:tcBorders>
        <w:shd w:val="clear" w:color="auto" w:fill="EFC3E9" w:themeFill="accent5" w:themeFillTint="3F"/>
      </w:tcPr>
    </w:tblStylePr>
  </w:style>
  <w:style w:type="table" w:styleId="LightShading-Accent6">
    <w:name w:val="Light Shading Accent 6"/>
    <w:basedOn w:val="TableNormal"/>
    <w:uiPriority w:val="60"/>
    <w:rsid w:val="00FC693F"/>
    <w:pPr>
      <w:spacing w:after="0" w:line="240" w:lineRule="auto"/>
    </w:pPr>
    <w:rPr>
      <w:color w:val="3A7C22" w:themeColor="accent6" w:themeShade="BF"/>
    </w:rPr>
    <w:tblPr>
      <w:tblStyleRowBandSize w:val="1"/>
      <w:tblStyleColBandSize w:val="1"/>
      <w:tblBorders>
        <w:top w:val="single" w:sz="8" w:space="0" w:color="4EA72E" w:themeColor="accent6"/>
        <w:bottom w:val="single" w:sz="8" w:space="0" w:color="4EA72E" w:themeColor="accent6"/>
      </w:tblBorders>
    </w:tblPr>
    <w:tblStylePr w:type="fir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la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left w:val="nil"/>
          <w:right w:val="nil"/>
          <w:insideH w:val="nil"/>
          <w:insideV w:val="nil"/>
        </w:tcBorders>
        <w:shd w:val="clear" w:color="auto" w:fill="D0EFC5"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pPr>
        <w:spacing w:before="0" w:after="0" w:line="240" w:lineRule="auto"/>
      </w:pPr>
      <w:rPr>
        <w:b/>
        <w:bCs/>
        <w:color w:val="FFFFFF" w:themeColor="background1"/>
      </w:rPr>
      <w:tblPr/>
      <w:tcPr>
        <w:shd w:val="clear" w:color="auto" w:fill="156082" w:themeFill="accent1"/>
      </w:tcPr>
    </w:tblStylePr>
    <w:tblStylePr w:type="lastRow">
      <w:pPr>
        <w:spacing w:before="0" w:after="0" w:line="240" w:lineRule="auto"/>
      </w:pPr>
      <w:rPr>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tcBorders>
      </w:tcPr>
    </w:tblStylePr>
    <w:tblStylePr w:type="firstCol">
      <w:rPr>
        <w:b/>
        <w:bCs/>
      </w:rPr>
    </w:tblStylePr>
    <w:tblStylePr w:type="lastCol">
      <w:rPr>
        <w:b/>
        <w:bCs/>
      </w:r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pPr>
        <w:spacing w:before="0" w:after="0" w:line="240" w:lineRule="auto"/>
      </w:pPr>
      <w:rPr>
        <w:b/>
        <w:bCs/>
        <w:color w:val="FFFFFF" w:themeColor="background1"/>
      </w:rPr>
      <w:tblPr/>
      <w:tcPr>
        <w:shd w:val="clear" w:color="auto" w:fill="E97132" w:themeFill="accent2"/>
      </w:tcPr>
    </w:tblStylePr>
    <w:tblStylePr w:type="lastRow">
      <w:pPr>
        <w:spacing w:before="0" w:after="0" w:line="240" w:lineRule="auto"/>
      </w:pPr>
      <w:rPr>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tcBorders>
      </w:tcPr>
    </w:tblStylePr>
    <w:tblStylePr w:type="firstCol">
      <w:rPr>
        <w:b/>
        <w:bCs/>
      </w:rPr>
    </w:tblStylePr>
    <w:tblStylePr w:type="lastCol">
      <w:rPr>
        <w:b/>
        <w:bCs/>
      </w:r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pPr>
        <w:spacing w:before="0" w:after="0" w:line="240" w:lineRule="auto"/>
      </w:pPr>
      <w:rPr>
        <w:b/>
        <w:bCs/>
        <w:color w:val="FFFFFF" w:themeColor="background1"/>
      </w:rPr>
      <w:tblPr/>
      <w:tcPr>
        <w:shd w:val="clear" w:color="auto" w:fill="196B24" w:themeFill="accent3"/>
      </w:tcPr>
    </w:tblStylePr>
    <w:tblStylePr w:type="lastRow">
      <w:pPr>
        <w:spacing w:before="0" w:after="0" w:line="240" w:lineRule="auto"/>
      </w:pPr>
      <w:rPr>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tcBorders>
      </w:tcPr>
    </w:tblStylePr>
    <w:tblStylePr w:type="firstCol">
      <w:rPr>
        <w:b/>
        <w:bCs/>
      </w:rPr>
    </w:tblStylePr>
    <w:tblStylePr w:type="lastCol">
      <w:rPr>
        <w:b/>
        <w:bCs/>
      </w:r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pPr>
        <w:spacing w:before="0" w:after="0" w:line="240" w:lineRule="auto"/>
      </w:pPr>
      <w:rPr>
        <w:b/>
        <w:bCs/>
        <w:color w:val="FFFFFF" w:themeColor="background1"/>
      </w:rPr>
      <w:tblPr/>
      <w:tcPr>
        <w:shd w:val="clear" w:color="auto" w:fill="0F9ED5" w:themeFill="accent4"/>
      </w:tcPr>
    </w:tblStylePr>
    <w:tblStylePr w:type="lastRow">
      <w:pPr>
        <w:spacing w:before="0" w:after="0" w:line="240" w:lineRule="auto"/>
      </w:pPr>
      <w:rPr>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tcBorders>
      </w:tcPr>
    </w:tblStylePr>
    <w:tblStylePr w:type="firstCol">
      <w:rPr>
        <w:b/>
        <w:bCs/>
      </w:rPr>
    </w:tblStylePr>
    <w:tblStylePr w:type="lastCol">
      <w:rPr>
        <w:b/>
        <w:bCs/>
      </w:r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pPr>
        <w:spacing w:before="0" w:after="0" w:line="240" w:lineRule="auto"/>
      </w:pPr>
      <w:rPr>
        <w:b/>
        <w:bCs/>
        <w:color w:val="FFFFFF" w:themeColor="background1"/>
      </w:rPr>
      <w:tblPr/>
      <w:tcPr>
        <w:shd w:val="clear" w:color="auto" w:fill="A02B93" w:themeFill="accent5"/>
      </w:tcPr>
    </w:tblStylePr>
    <w:tblStylePr w:type="lastRow">
      <w:pPr>
        <w:spacing w:before="0" w:after="0" w:line="240" w:lineRule="auto"/>
      </w:pPr>
      <w:rPr>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tcBorders>
      </w:tcPr>
    </w:tblStylePr>
    <w:tblStylePr w:type="firstCol">
      <w:rPr>
        <w:b/>
        <w:bCs/>
      </w:rPr>
    </w:tblStylePr>
    <w:tblStylePr w:type="lastCol">
      <w:rPr>
        <w:b/>
        <w:bCs/>
      </w:r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pPr>
        <w:spacing w:before="0" w:after="0" w:line="240" w:lineRule="auto"/>
      </w:pPr>
      <w:rPr>
        <w:b/>
        <w:bCs/>
        <w:color w:val="FFFFFF" w:themeColor="background1"/>
      </w:rPr>
      <w:tblPr/>
      <w:tcPr>
        <w:shd w:val="clear" w:color="auto" w:fill="4EA72E" w:themeFill="accent6"/>
      </w:tcPr>
    </w:tblStylePr>
    <w:tblStylePr w:type="lastRow">
      <w:pPr>
        <w:spacing w:before="0" w:after="0" w:line="240" w:lineRule="auto"/>
      </w:pPr>
      <w:rPr>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tcBorders>
      </w:tcPr>
    </w:tblStylePr>
    <w:tblStylePr w:type="firstCol">
      <w:rPr>
        <w:b/>
        <w:bCs/>
      </w:rPr>
    </w:tblStylePr>
    <w:tblStylePr w:type="lastCol">
      <w:rPr>
        <w:b/>
        <w:bCs/>
      </w:r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18" w:space="0" w:color="156082" w:themeColor="accent1"/>
          <w:right w:val="single" w:sz="8" w:space="0" w:color="156082" w:themeColor="accent1"/>
          <w:insideH w:val="nil"/>
          <w:insideV w:val="single" w:sz="8" w:space="0" w:color="156082"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insideH w:val="nil"/>
          <w:insideV w:val="single" w:sz="8" w:space="0" w:color="156082"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shd w:val="clear" w:color="auto" w:fill="B2DEF2" w:themeFill="accent1" w:themeFillTint="3F"/>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shd w:val="clear" w:color="auto" w:fill="B2DEF2" w:themeFill="accent1" w:themeFillTint="3F"/>
      </w:tcPr>
    </w:tblStylePr>
    <w:tblStylePr w:type="band2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18" w:space="0" w:color="E97132" w:themeColor="accent2"/>
          <w:right w:val="single" w:sz="8" w:space="0" w:color="E97132" w:themeColor="accent2"/>
          <w:insideH w:val="nil"/>
          <w:insideV w:val="single" w:sz="8" w:space="0" w:color="E97132"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insideH w:val="nil"/>
          <w:insideV w:val="single" w:sz="8" w:space="0" w:color="E97132"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shd w:val="clear" w:color="auto" w:fill="F9DBCC" w:themeFill="accent2" w:themeFillTint="3F"/>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shd w:val="clear" w:color="auto" w:fill="F9DBCC" w:themeFill="accent2" w:themeFillTint="3F"/>
      </w:tcPr>
    </w:tblStylePr>
    <w:tblStylePr w:type="band2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18" w:space="0" w:color="196B24" w:themeColor="accent3"/>
          <w:right w:val="single" w:sz="8" w:space="0" w:color="196B24" w:themeColor="accent3"/>
          <w:insideH w:val="nil"/>
          <w:insideV w:val="single" w:sz="8" w:space="0" w:color="196B24"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insideH w:val="nil"/>
          <w:insideV w:val="single" w:sz="8" w:space="0" w:color="196B24"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shd w:val="clear" w:color="auto" w:fill="B3EDBA" w:themeFill="accent3" w:themeFillTint="3F"/>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shd w:val="clear" w:color="auto" w:fill="B3EDBA" w:themeFill="accent3" w:themeFillTint="3F"/>
      </w:tcPr>
    </w:tblStylePr>
    <w:tblStylePr w:type="band2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18" w:space="0" w:color="0F9ED5" w:themeColor="accent4"/>
          <w:right w:val="single" w:sz="8" w:space="0" w:color="0F9ED5" w:themeColor="accent4"/>
          <w:insideH w:val="nil"/>
          <w:insideV w:val="single" w:sz="8" w:space="0" w:color="0F9ED5"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insideH w:val="nil"/>
          <w:insideV w:val="single" w:sz="8" w:space="0" w:color="0F9ED5"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shd w:val="clear" w:color="auto" w:fill="BDE9FA" w:themeFill="accent4" w:themeFillTint="3F"/>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shd w:val="clear" w:color="auto" w:fill="BDE9FA" w:themeFill="accent4" w:themeFillTint="3F"/>
      </w:tcPr>
    </w:tblStylePr>
    <w:tblStylePr w:type="band2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18" w:space="0" w:color="A02B93" w:themeColor="accent5"/>
          <w:right w:val="single" w:sz="8" w:space="0" w:color="A02B93" w:themeColor="accent5"/>
          <w:insideH w:val="nil"/>
          <w:insideV w:val="single" w:sz="8" w:space="0" w:color="A02B93"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insideH w:val="nil"/>
          <w:insideV w:val="single" w:sz="8" w:space="0" w:color="A02B93"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shd w:val="clear" w:color="auto" w:fill="EFC3E9" w:themeFill="accent5" w:themeFillTint="3F"/>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shd w:val="clear" w:color="auto" w:fill="EFC3E9" w:themeFill="accent5" w:themeFillTint="3F"/>
      </w:tcPr>
    </w:tblStylePr>
    <w:tblStylePr w:type="band2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18" w:space="0" w:color="4EA72E" w:themeColor="accent6"/>
          <w:right w:val="single" w:sz="8" w:space="0" w:color="4EA72E" w:themeColor="accent6"/>
          <w:insideH w:val="nil"/>
          <w:insideV w:val="single" w:sz="8" w:space="0" w:color="4EA72E"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insideH w:val="nil"/>
          <w:insideV w:val="single" w:sz="8" w:space="0" w:color="4EA72E"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shd w:val="clear" w:color="auto" w:fill="D0EFC5" w:themeFill="accent6" w:themeFillTint="3F"/>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shd w:val="clear" w:color="auto" w:fill="D0EFC5" w:themeFill="accent6" w:themeFillTint="3F"/>
      </w:tcPr>
    </w:tblStylePr>
    <w:tblStylePr w:type="band2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tblBorders>
    </w:tblPr>
    <w:tblStylePr w:type="firstRow">
      <w:pPr>
        <w:spacing w:before="0" w:after="0" w:line="240" w:lineRule="auto"/>
      </w:pPr>
      <w:rPr>
        <w:b/>
        <w:bCs/>
        <w:color w:val="FFFFFF" w:themeColor="background1"/>
      </w:rPr>
      <w:tblPr/>
      <w:tcPr>
        <w:tc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shd w:val="clear" w:color="auto" w:fill="156082" w:themeFill="accent1"/>
      </w:tcPr>
    </w:tblStylePr>
    <w:tblStylePr w:type="lastRow">
      <w:pPr>
        <w:spacing w:before="0" w:after="0" w:line="240" w:lineRule="auto"/>
      </w:pPr>
      <w:rPr>
        <w:b/>
        <w:bCs/>
      </w:rPr>
      <w:tblPr/>
      <w:tcPr>
        <w:tcBorders>
          <w:top w:val="double" w:sz="6"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tcPr>
    </w:tblStylePr>
    <w:tblStylePr w:type="firstCol">
      <w:rPr>
        <w:b/>
        <w:bCs/>
      </w:rPr>
    </w:tblStylePr>
    <w:tblStylePr w:type="lastCol">
      <w:rPr>
        <w:b/>
        <w:bCs/>
      </w:rPr>
    </w:tblStylePr>
    <w:tblStylePr w:type="band1Vert">
      <w:tblPr/>
      <w:tcPr>
        <w:shd w:val="clear" w:color="auto" w:fill="B2DEF2" w:themeFill="accent1" w:themeFillTint="3F"/>
      </w:tcPr>
    </w:tblStylePr>
    <w:tblStylePr w:type="band1Horz">
      <w:tblPr/>
      <w:tcPr>
        <w:tcBorders>
          <w:insideH w:val="nil"/>
          <w:insideV w:val="nil"/>
        </w:tcBorders>
        <w:shd w:val="clear" w:color="auto" w:fill="B2DEF2"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tblBorders>
    </w:tblPr>
    <w:tblStylePr w:type="firstRow">
      <w:pPr>
        <w:spacing w:before="0" w:after="0" w:line="240" w:lineRule="auto"/>
      </w:pPr>
      <w:rPr>
        <w:b/>
        <w:bCs/>
        <w:color w:val="FFFFFF" w:themeColor="background1"/>
      </w:rPr>
      <w:tblPr/>
      <w:tcPr>
        <w:tc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shd w:val="clear" w:color="auto" w:fill="E97132" w:themeFill="accent2"/>
      </w:tcPr>
    </w:tblStylePr>
    <w:tblStylePr w:type="lastRow">
      <w:pPr>
        <w:spacing w:before="0" w:after="0" w:line="240" w:lineRule="auto"/>
      </w:pPr>
      <w:rPr>
        <w:b/>
        <w:bCs/>
      </w:rPr>
      <w:tblPr/>
      <w:tcPr>
        <w:tcBorders>
          <w:top w:val="double" w:sz="6"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tcPr>
    </w:tblStylePr>
    <w:tblStylePr w:type="firstCol">
      <w:rPr>
        <w:b/>
        <w:bCs/>
      </w:rPr>
    </w:tblStylePr>
    <w:tblStylePr w:type="lastCol">
      <w:rPr>
        <w:b/>
        <w:bCs/>
      </w:rPr>
    </w:tblStylePr>
    <w:tblStylePr w:type="band1Vert">
      <w:tblPr/>
      <w:tcPr>
        <w:shd w:val="clear" w:color="auto" w:fill="F9DBCC" w:themeFill="accent2" w:themeFillTint="3F"/>
      </w:tcPr>
    </w:tblStylePr>
    <w:tblStylePr w:type="band1Horz">
      <w:tblPr/>
      <w:tcPr>
        <w:tcBorders>
          <w:insideH w:val="nil"/>
          <w:insideV w:val="nil"/>
        </w:tcBorders>
        <w:shd w:val="clear" w:color="auto" w:fill="F9DBCC"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tblBorders>
    </w:tblPr>
    <w:tblStylePr w:type="firstRow">
      <w:pPr>
        <w:spacing w:before="0" w:after="0" w:line="240" w:lineRule="auto"/>
      </w:pPr>
      <w:rPr>
        <w:b/>
        <w:bCs/>
        <w:color w:val="FFFFFF" w:themeColor="background1"/>
      </w:rPr>
      <w:tblPr/>
      <w:tcPr>
        <w:tc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shd w:val="clear" w:color="auto" w:fill="196B24" w:themeFill="accent3"/>
      </w:tcPr>
    </w:tblStylePr>
    <w:tblStylePr w:type="lastRow">
      <w:pPr>
        <w:spacing w:before="0" w:after="0" w:line="240" w:lineRule="auto"/>
      </w:pPr>
      <w:rPr>
        <w:b/>
        <w:bCs/>
      </w:rPr>
      <w:tblPr/>
      <w:tcPr>
        <w:tcBorders>
          <w:top w:val="double" w:sz="6"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tcPr>
    </w:tblStylePr>
    <w:tblStylePr w:type="firstCol">
      <w:rPr>
        <w:b/>
        <w:bCs/>
      </w:rPr>
    </w:tblStylePr>
    <w:tblStylePr w:type="lastCol">
      <w:rPr>
        <w:b/>
        <w:bCs/>
      </w:rPr>
    </w:tblStylePr>
    <w:tblStylePr w:type="band1Vert">
      <w:tblPr/>
      <w:tcPr>
        <w:shd w:val="clear" w:color="auto" w:fill="B3EDBA" w:themeFill="accent3" w:themeFillTint="3F"/>
      </w:tcPr>
    </w:tblStylePr>
    <w:tblStylePr w:type="band1Horz">
      <w:tblPr/>
      <w:tcPr>
        <w:tcBorders>
          <w:insideH w:val="nil"/>
          <w:insideV w:val="nil"/>
        </w:tcBorders>
        <w:shd w:val="clear" w:color="auto" w:fill="B3EDBA"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tblBorders>
    </w:tblPr>
    <w:tblStylePr w:type="firstRow">
      <w:pPr>
        <w:spacing w:before="0" w:after="0" w:line="240" w:lineRule="auto"/>
      </w:pPr>
      <w:rPr>
        <w:b/>
        <w:bCs/>
        <w:color w:val="FFFFFF" w:themeColor="background1"/>
      </w:rPr>
      <w:tblPr/>
      <w:tcPr>
        <w:tc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shd w:val="clear" w:color="auto" w:fill="0F9ED5" w:themeFill="accent4"/>
      </w:tcPr>
    </w:tblStylePr>
    <w:tblStylePr w:type="lastRow">
      <w:pPr>
        <w:spacing w:before="0" w:after="0" w:line="240" w:lineRule="auto"/>
      </w:pPr>
      <w:rPr>
        <w:b/>
        <w:bCs/>
      </w:rPr>
      <w:tblPr/>
      <w:tcPr>
        <w:tcBorders>
          <w:top w:val="double" w:sz="6"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tcPr>
    </w:tblStylePr>
    <w:tblStylePr w:type="firstCol">
      <w:rPr>
        <w:b/>
        <w:bCs/>
      </w:rPr>
    </w:tblStylePr>
    <w:tblStylePr w:type="lastCol">
      <w:rPr>
        <w:b/>
        <w:bCs/>
      </w:rPr>
    </w:tblStylePr>
    <w:tblStylePr w:type="band1Vert">
      <w:tblPr/>
      <w:tcPr>
        <w:shd w:val="clear" w:color="auto" w:fill="BDE9FA" w:themeFill="accent4" w:themeFillTint="3F"/>
      </w:tcPr>
    </w:tblStylePr>
    <w:tblStylePr w:type="band1Horz">
      <w:tblPr/>
      <w:tcPr>
        <w:tcBorders>
          <w:insideH w:val="nil"/>
          <w:insideV w:val="nil"/>
        </w:tcBorders>
        <w:shd w:val="clear" w:color="auto" w:fill="BDE9FA"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tblBorders>
    </w:tblPr>
    <w:tblStylePr w:type="firstRow">
      <w:pPr>
        <w:spacing w:before="0" w:after="0" w:line="240" w:lineRule="auto"/>
      </w:pPr>
      <w:rPr>
        <w:b/>
        <w:bCs/>
        <w:color w:val="FFFFFF" w:themeColor="background1"/>
      </w:rPr>
      <w:tblPr/>
      <w:tcPr>
        <w:tc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shd w:val="clear" w:color="auto" w:fill="A02B93" w:themeFill="accent5"/>
      </w:tcPr>
    </w:tblStylePr>
    <w:tblStylePr w:type="lastRow">
      <w:pPr>
        <w:spacing w:before="0" w:after="0" w:line="240" w:lineRule="auto"/>
      </w:pPr>
      <w:rPr>
        <w:b/>
        <w:bCs/>
      </w:rPr>
      <w:tblPr/>
      <w:tcPr>
        <w:tcBorders>
          <w:top w:val="double" w:sz="6"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tcPr>
    </w:tblStylePr>
    <w:tblStylePr w:type="firstCol">
      <w:rPr>
        <w:b/>
        <w:bCs/>
      </w:rPr>
    </w:tblStylePr>
    <w:tblStylePr w:type="lastCol">
      <w:rPr>
        <w:b/>
        <w:bCs/>
      </w:rPr>
    </w:tblStylePr>
    <w:tblStylePr w:type="band1Vert">
      <w:tblPr/>
      <w:tcPr>
        <w:shd w:val="clear" w:color="auto" w:fill="EFC3E9" w:themeFill="accent5" w:themeFillTint="3F"/>
      </w:tcPr>
    </w:tblStylePr>
    <w:tblStylePr w:type="band1Horz">
      <w:tblPr/>
      <w:tcPr>
        <w:tcBorders>
          <w:insideH w:val="nil"/>
          <w:insideV w:val="nil"/>
        </w:tcBorders>
        <w:shd w:val="clear" w:color="auto" w:fill="EFC3E9"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tblBorders>
    </w:tblPr>
    <w:tblStylePr w:type="firstRow">
      <w:pPr>
        <w:spacing w:before="0" w:after="0" w:line="240" w:lineRule="auto"/>
      </w:pPr>
      <w:rPr>
        <w:b/>
        <w:bCs/>
        <w:color w:val="FFFFFF" w:themeColor="background1"/>
      </w:rPr>
      <w:tblPr/>
      <w:tcPr>
        <w:tc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shd w:val="clear" w:color="auto" w:fill="4EA72E" w:themeFill="accent6"/>
      </w:tcPr>
    </w:tblStylePr>
    <w:tblStylePr w:type="lastRow">
      <w:pPr>
        <w:spacing w:before="0" w:after="0" w:line="240" w:lineRule="auto"/>
      </w:pPr>
      <w:rPr>
        <w:b/>
        <w:bCs/>
      </w:rPr>
      <w:tblPr/>
      <w:tcPr>
        <w:tcBorders>
          <w:top w:val="double" w:sz="6"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tcPr>
    </w:tblStylePr>
    <w:tblStylePr w:type="firstCol">
      <w:rPr>
        <w:b/>
        <w:bCs/>
      </w:rPr>
    </w:tblStylePr>
    <w:tblStylePr w:type="lastCol">
      <w:rPr>
        <w:b/>
        <w:bCs/>
      </w:rPr>
    </w:tblStylePr>
    <w:tblStylePr w:type="band1Vert">
      <w:tblPr/>
      <w:tcPr>
        <w:shd w:val="clear" w:color="auto" w:fill="D0EFC5" w:themeFill="accent6" w:themeFillTint="3F"/>
      </w:tcPr>
    </w:tblStylePr>
    <w:tblStylePr w:type="band1Horz">
      <w:tblPr/>
      <w:tcPr>
        <w:tcBorders>
          <w:insideH w:val="nil"/>
          <w:insideV w:val="nil"/>
        </w:tcBorders>
        <w:shd w:val="clear" w:color="auto" w:fill="D0EFC5"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56082"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56082" w:themeFill="accent1"/>
      </w:tcPr>
    </w:tblStylePr>
    <w:tblStylePr w:type="lastCol">
      <w:rPr>
        <w:b/>
        <w:bCs/>
        <w:color w:val="FFFFFF" w:themeColor="background1"/>
      </w:rPr>
      <w:tblPr/>
      <w:tcPr>
        <w:tcBorders>
          <w:left w:val="nil"/>
          <w:right w:val="nil"/>
          <w:insideH w:val="nil"/>
          <w:insideV w:val="nil"/>
        </w:tcBorders>
        <w:shd w:val="clear" w:color="auto" w:fill="156082"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E97132"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E97132" w:themeFill="accent2"/>
      </w:tcPr>
    </w:tblStylePr>
    <w:tblStylePr w:type="lastCol">
      <w:rPr>
        <w:b/>
        <w:bCs/>
        <w:color w:val="FFFFFF" w:themeColor="background1"/>
      </w:rPr>
      <w:tblPr/>
      <w:tcPr>
        <w:tcBorders>
          <w:left w:val="nil"/>
          <w:right w:val="nil"/>
          <w:insideH w:val="nil"/>
          <w:insideV w:val="nil"/>
        </w:tcBorders>
        <w:shd w:val="clear" w:color="auto" w:fill="E97132"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96B24"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96B24" w:themeFill="accent3"/>
      </w:tcPr>
    </w:tblStylePr>
    <w:tblStylePr w:type="lastCol">
      <w:rPr>
        <w:b/>
        <w:bCs/>
        <w:color w:val="FFFFFF" w:themeColor="background1"/>
      </w:rPr>
      <w:tblPr/>
      <w:tcPr>
        <w:tcBorders>
          <w:left w:val="nil"/>
          <w:right w:val="nil"/>
          <w:insideH w:val="nil"/>
          <w:insideV w:val="nil"/>
        </w:tcBorders>
        <w:shd w:val="clear" w:color="auto" w:fill="196B24"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F9ED5"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F9ED5" w:themeFill="accent4"/>
      </w:tcPr>
    </w:tblStylePr>
    <w:tblStylePr w:type="lastCol">
      <w:rPr>
        <w:b/>
        <w:bCs/>
        <w:color w:val="FFFFFF" w:themeColor="background1"/>
      </w:rPr>
      <w:tblPr/>
      <w:tcPr>
        <w:tcBorders>
          <w:left w:val="nil"/>
          <w:right w:val="nil"/>
          <w:insideH w:val="nil"/>
          <w:insideV w:val="nil"/>
        </w:tcBorders>
        <w:shd w:val="clear" w:color="auto" w:fill="0F9ED5"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A02B93"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A02B93" w:themeFill="accent5"/>
      </w:tcPr>
    </w:tblStylePr>
    <w:tblStylePr w:type="lastCol">
      <w:rPr>
        <w:b/>
        <w:bCs/>
        <w:color w:val="FFFFFF" w:themeColor="background1"/>
      </w:rPr>
      <w:tblPr/>
      <w:tcPr>
        <w:tcBorders>
          <w:left w:val="nil"/>
          <w:right w:val="nil"/>
          <w:insideH w:val="nil"/>
          <w:insideV w:val="nil"/>
        </w:tcBorders>
        <w:shd w:val="clear" w:color="auto" w:fill="A02B93"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EA72E"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EA72E" w:themeFill="accent6"/>
      </w:tcPr>
    </w:tblStylePr>
    <w:tblStylePr w:type="lastCol">
      <w:rPr>
        <w:b/>
        <w:bCs/>
        <w:color w:val="FFFFFF" w:themeColor="background1"/>
      </w:rPr>
      <w:tblPr/>
      <w:tcPr>
        <w:tcBorders>
          <w:left w:val="nil"/>
          <w:right w:val="nil"/>
          <w:insideH w:val="nil"/>
          <w:insideV w:val="nil"/>
        </w:tcBorders>
        <w:shd w:val="clear" w:color="auto" w:fill="4EA72E"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0E2841"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156082" w:themeColor="accent1"/>
        <w:bottom w:val="single" w:sz="8" w:space="0" w:color="156082" w:themeColor="accent1"/>
      </w:tblBorders>
    </w:tblPr>
    <w:tblStylePr w:type="firstRow">
      <w:rPr>
        <w:rFonts w:asciiTheme="majorHAnsi" w:eastAsiaTheme="majorEastAsia" w:hAnsiTheme="majorHAnsi" w:cstheme="majorBidi"/>
      </w:rPr>
      <w:tblPr/>
      <w:tcPr>
        <w:tcBorders>
          <w:top w:val="nil"/>
          <w:bottom w:val="single" w:sz="8" w:space="0" w:color="156082" w:themeColor="accent1"/>
        </w:tcBorders>
      </w:tcPr>
    </w:tblStylePr>
    <w:tblStylePr w:type="lastRow">
      <w:rPr>
        <w:b/>
        <w:bCs/>
        <w:color w:val="0E2841" w:themeColor="text2"/>
      </w:rPr>
      <w:tblPr/>
      <w:tcPr>
        <w:tcBorders>
          <w:top w:val="single" w:sz="8" w:space="0" w:color="156082" w:themeColor="accent1"/>
          <w:bottom w:val="single" w:sz="8" w:space="0" w:color="156082" w:themeColor="accent1"/>
        </w:tcBorders>
      </w:tcPr>
    </w:tblStylePr>
    <w:tblStylePr w:type="firstCol">
      <w:rPr>
        <w:b/>
        <w:bCs/>
      </w:rPr>
    </w:tblStylePr>
    <w:tblStylePr w:type="lastCol">
      <w:rPr>
        <w:b/>
        <w:bCs/>
      </w:rPr>
      <w:tblPr/>
      <w:tcPr>
        <w:tcBorders>
          <w:top w:val="single" w:sz="8" w:space="0" w:color="156082" w:themeColor="accent1"/>
          <w:bottom w:val="single" w:sz="8" w:space="0" w:color="156082" w:themeColor="accent1"/>
        </w:tcBorders>
      </w:tcPr>
    </w:tblStylePr>
    <w:tblStylePr w:type="band1Vert">
      <w:tblPr/>
      <w:tcPr>
        <w:shd w:val="clear" w:color="auto" w:fill="B2DEF2" w:themeFill="accent1" w:themeFillTint="3F"/>
      </w:tcPr>
    </w:tblStylePr>
    <w:tblStylePr w:type="band1Horz">
      <w:tblPr/>
      <w:tcPr>
        <w:shd w:val="clear" w:color="auto" w:fill="B2DEF2"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E97132" w:themeColor="accent2"/>
        <w:bottom w:val="single" w:sz="8" w:space="0" w:color="E97132" w:themeColor="accent2"/>
      </w:tblBorders>
    </w:tblPr>
    <w:tblStylePr w:type="firstRow">
      <w:rPr>
        <w:rFonts w:asciiTheme="majorHAnsi" w:eastAsiaTheme="majorEastAsia" w:hAnsiTheme="majorHAnsi" w:cstheme="majorBidi"/>
      </w:rPr>
      <w:tblPr/>
      <w:tcPr>
        <w:tcBorders>
          <w:top w:val="nil"/>
          <w:bottom w:val="single" w:sz="8" w:space="0" w:color="E97132" w:themeColor="accent2"/>
        </w:tcBorders>
      </w:tcPr>
    </w:tblStylePr>
    <w:tblStylePr w:type="lastRow">
      <w:rPr>
        <w:b/>
        <w:bCs/>
        <w:color w:val="0E2841" w:themeColor="text2"/>
      </w:rPr>
      <w:tblPr/>
      <w:tcPr>
        <w:tcBorders>
          <w:top w:val="single" w:sz="8" w:space="0" w:color="E97132" w:themeColor="accent2"/>
          <w:bottom w:val="single" w:sz="8" w:space="0" w:color="E97132" w:themeColor="accent2"/>
        </w:tcBorders>
      </w:tcPr>
    </w:tblStylePr>
    <w:tblStylePr w:type="firstCol">
      <w:rPr>
        <w:b/>
        <w:bCs/>
      </w:rPr>
    </w:tblStylePr>
    <w:tblStylePr w:type="lastCol">
      <w:rPr>
        <w:b/>
        <w:bCs/>
      </w:rPr>
      <w:tblPr/>
      <w:tcPr>
        <w:tcBorders>
          <w:top w:val="single" w:sz="8" w:space="0" w:color="E97132" w:themeColor="accent2"/>
          <w:bottom w:val="single" w:sz="8" w:space="0" w:color="E97132" w:themeColor="accent2"/>
        </w:tcBorders>
      </w:tcPr>
    </w:tblStylePr>
    <w:tblStylePr w:type="band1Vert">
      <w:tblPr/>
      <w:tcPr>
        <w:shd w:val="clear" w:color="auto" w:fill="F9DBCC" w:themeFill="accent2" w:themeFillTint="3F"/>
      </w:tcPr>
    </w:tblStylePr>
    <w:tblStylePr w:type="band1Horz">
      <w:tblPr/>
      <w:tcPr>
        <w:shd w:val="clear" w:color="auto" w:fill="F9DBCC"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196B24" w:themeColor="accent3"/>
        <w:bottom w:val="single" w:sz="8" w:space="0" w:color="196B24" w:themeColor="accent3"/>
      </w:tblBorders>
    </w:tblPr>
    <w:tblStylePr w:type="firstRow">
      <w:rPr>
        <w:rFonts w:asciiTheme="majorHAnsi" w:eastAsiaTheme="majorEastAsia" w:hAnsiTheme="majorHAnsi" w:cstheme="majorBidi"/>
      </w:rPr>
      <w:tblPr/>
      <w:tcPr>
        <w:tcBorders>
          <w:top w:val="nil"/>
          <w:bottom w:val="single" w:sz="8" w:space="0" w:color="196B24" w:themeColor="accent3"/>
        </w:tcBorders>
      </w:tcPr>
    </w:tblStylePr>
    <w:tblStylePr w:type="lastRow">
      <w:rPr>
        <w:b/>
        <w:bCs/>
        <w:color w:val="0E2841" w:themeColor="text2"/>
      </w:rPr>
      <w:tblPr/>
      <w:tcPr>
        <w:tcBorders>
          <w:top w:val="single" w:sz="8" w:space="0" w:color="196B24" w:themeColor="accent3"/>
          <w:bottom w:val="single" w:sz="8" w:space="0" w:color="196B24" w:themeColor="accent3"/>
        </w:tcBorders>
      </w:tcPr>
    </w:tblStylePr>
    <w:tblStylePr w:type="firstCol">
      <w:rPr>
        <w:b/>
        <w:bCs/>
      </w:rPr>
    </w:tblStylePr>
    <w:tblStylePr w:type="lastCol">
      <w:rPr>
        <w:b/>
        <w:bCs/>
      </w:rPr>
      <w:tblPr/>
      <w:tcPr>
        <w:tcBorders>
          <w:top w:val="single" w:sz="8" w:space="0" w:color="196B24" w:themeColor="accent3"/>
          <w:bottom w:val="single" w:sz="8" w:space="0" w:color="196B24" w:themeColor="accent3"/>
        </w:tcBorders>
      </w:tcPr>
    </w:tblStylePr>
    <w:tblStylePr w:type="band1Vert">
      <w:tblPr/>
      <w:tcPr>
        <w:shd w:val="clear" w:color="auto" w:fill="B3EDBA" w:themeFill="accent3" w:themeFillTint="3F"/>
      </w:tcPr>
    </w:tblStylePr>
    <w:tblStylePr w:type="band1Horz">
      <w:tblPr/>
      <w:tcPr>
        <w:shd w:val="clear" w:color="auto" w:fill="B3EDBA"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0F9ED5" w:themeColor="accent4"/>
        <w:bottom w:val="single" w:sz="8" w:space="0" w:color="0F9ED5" w:themeColor="accent4"/>
      </w:tblBorders>
    </w:tblPr>
    <w:tblStylePr w:type="firstRow">
      <w:rPr>
        <w:rFonts w:asciiTheme="majorHAnsi" w:eastAsiaTheme="majorEastAsia" w:hAnsiTheme="majorHAnsi" w:cstheme="majorBidi"/>
      </w:rPr>
      <w:tblPr/>
      <w:tcPr>
        <w:tcBorders>
          <w:top w:val="nil"/>
          <w:bottom w:val="single" w:sz="8" w:space="0" w:color="0F9ED5" w:themeColor="accent4"/>
        </w:tcBorders>
      </w:tcPr>
    </w:tblStylePr>
    <w:tblStylePr w:type="lastRow">
      <w:rPr>
        <w:b/>
        <w:bCs/>
        <w:color w:val="0E2841" w:themeColor="text2"/>
      </w:rPr>
      <w:tblPr/>
      <w:tcPr>
        <w:tcBorders>
          <w:top w:val="single" w:sz="8" w:space="0" w:color="0F9ED5" w:themeColor="accent4"/>
          <w:bottom w:val="single" w:sz="8" w:space="0" w:color="0F9ED5" w:themeColor="accent4"/>
        </w:tcBorders>
      </w:tcPr>
    </w:tblStylePr>
    <w:tblStylePr w:type="firstCol">
      <w:rPr>
        <w:b/>
        <w:bCs/>
      </w:rPr>
    </w:tblStylePr>
    <w:tblStylePr w:type="lastCol">
      <w:rPr>
        <w:b/>
        <w:bCs/>
      </w:rPr>
      <w:tblPr/>
      <w:tcPr>
        <w:tcBorders>
          <w:top w:val="single" w:sz="8" w:space="0" w:color="0F9ED5" w:themeColor="accent4"/>
          <w:bottom w:val="single" w:sz="8" w:space="0" w:color="0F9ED5" w:themeColor="accent4"/>
        </w:tcBorders>
      </w:tcPr>
    </w:tblStylePr>
    <w:tblStylePr w:type="band1Vert">
      <w:tblPr/>
      <w:tcPr>
        <w:shd w:val="clear" w:color="auto" w:fill="BDE9FA" w:themeFill="accent4" w:themeFillTint="3F"/>
      </w:tcPr>
    </w:tblStylePr>
    <w:tblStylePr w:type="band1Horz">
      <w:tblPr/>
      <w:tcPr>
        <w:shd w:val="clear" w:color="auto" w:fill="BDE9FA"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A02B93" w:themeColor="accent5"/>
        <w:bottom w:val="single" w:sz="8" w:space="0" w:color="A02B93" w:themeColor="accent5"/>
      </w:tblBorders>
    </w:tblPr>
    <w:tblStylePr w:type="firstRow">
      <w:rPr>
        <w:rFonts w:asciiTheme="majorHAnsi" w:eastAsiaTheme="majorEastAsia" w:hAnsiTheme="majorHAnsi" w:cstheme="majorBidi"/>
      </w:rPr>
      <w:tblPr/>
      <w:tcPr>
        <w:tcBorders>
          <w:top w:val="nil"/>
          <w:bottom w:val="single" w:sz="8" w:space="0" w:color="A02B93" w:themeColor="accent5"/>
        </w:tcBorders>
      </w:tcPr>
    </w:tblStylePr>
    <w:tblStylePr w:type="lastRow">
      <w:rPr>
        <w:b/>
        <w:bCs/>
        <w:color w:val="0E2841" w:themeColor="text2"/>
      </w:rPr>
      <w:tblPr/>
      <w:tcPr>
        <w:tcBorders>
          <w:top w:val="single" w:sz="8" w:space="0" w:color="A02B93" w:themeColor="accent5"/>
          <w:bottom w:val="single" w:sz="8" w:space="0" w:color="A02B93" w:themeColor="accent5"/>
        </w:tcBorders>
      </w:tcPr>
    </w:tblStylePr>
    <w:tblStylePr w:type="firstCol">
      <w:rPr>
        <w:b/>
        <w:bCs/>
      </w:rPr>
    </w:tblStylePr>
    <w:tblStylePr w:type="lastCol">
      <w:rPr>
        <w:b/>
        <w:bCs/>
      </w:rPr>
      <w:tblPr/>
      <w:tcPr>
        <w:tcBorders>
          <w:top w:val="single" w:sz="8" w:space="0" w:color="A02B93" w:themeColor="accent5"/>
          <w:bottom w:val="single" w:sz="8" w:space="0" w:color="A02B93" w:themeColor="accent5"/>
        </w:tcBorders>
      </w:tcPr>
    </w:tblStylePr>
    <w:tblStylePr w:type="band1Vert">
      <w:tblPr/>
      <w:tcPr>
        <w:shd w:val="clear" w:color="auto" w:fill="EFC3E9" w:themeFill="accent5" w:themeFillTint="3F"/>
      </w:tcPr>
    </w:tblStylePr>
    <w:tblStylePr w:type="band1Horz">
      <w:tblPr/>
      <w:tcPr>
        <w:shd w:val="clear" w:color="auto" w:fill="EFC3E9"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4EA72E" w:themeColor="accent6"/>
        <w:bottom w:val="single" w:sz="8" w:space="0" w:color="4EA72E" w:themeColor="accent6"/>
      </w:tblBorders>
    </w:tblPr>
    <w:tblStylePr w:type="firstRow">
      <w:rPr>
        <w:rFonts w:asciiTheme="majorHAnsi" w:eastAsiaTheme="majorEastAsia" w:hAnsiTheme="majorHAnsi" w:cstheme="majorBidi"/>
      </w:rPr>
      <w:tblPr/>
      <w:tcPr>
        <w:tcBorders>
          <w:top w:val="nil"/>
          <w:bottom w:val="single" w:sz="8" w:space="0" w:color="4EA72E" w:themeColor="accent6"/>
        </w:tcBorders>
      </w:tcPr>
    </w:tblStylePr>
    <w:tblStylePr w:type="lastRow">
      <w:rPr>
        <w:b/>
        <w:bCs/>
        <w:color w:val="0E2841" w:themeColor="text2"/>
      </w:rPr>
      <w:tblPr/>
      <w:tcPr>
        <w:tcBorders>
          <w:top w:val="single" w:sz="8" w:space="0" w:color="4EA72E" w:themeColor="accent6"/>
          <w:bottom w:val="single" w:sz="8" w:space="0" w:color="4EA72E" w:themeColor="accent6"/>
        </w:tcBorders>
      </w:tcPr>
    </w:tblStylePr>
    <w:tblStylePr w:type="firstCol">
      <w:rPr>
        <w:b/>
        <w:bCs/>
      </w:rPr>
    </w:tblStylePr>
    <w:tblStylePr w:type="lastCol">
      <w:rPr>
        <w:b/>
        <w:bCs/>
      </w:rPr>
      <w:tblPr/>
      <w:tcPr>
        <w:tcBorders>
          <w:top w:val="single" w:sz="8" w:space="0" w:color="4EA72E" w:themeColor="accent6"/>
          <w:bottom w:val="single" w:sz="8" w:space="0" w:color="4EA72E" w:themeColor="accent6"/>
        </w:tcBorders>
      </w:tcPr>
    </w:tblStylePr>
    <w:tblStylePr w:type="band1Vert">
      <w:tblPr/>
      <w:tcPr>
        <w:shd w:val="clear" w:color="auto" w:fill="D0EFC5" w:themeFill="accent6" w:themeFillTint="3F"/>
      </w:tcPr>
    </w:tblStylePr>
    <w:tblStylePr w:type="band1Horz">
      <w:tblPr/>
      <w:tcPr>
        <w:shd w:val="clear" w:color="auto" w:fill="D0EFC5"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rPr>
        <w:sz w:val="24"/>
        <w:szCs w:val="24"/>
      </w:rPr>
      <w:tblPr/>
      <w:tcPr>
        <w:tcBorders>
          <w:top w:val="nil"/>
          <w:left w:val="nil"/>
          <w:bottom w:val="single" w:sz="24" w:space="0" w:color="156082" w:themeColor="accent1"/>
          <w:right w:val="nil"/>
          <w:insideH w:val="nil"/>
          <w:insideV w:val="nil"/>
        </w:tcBorders>
        <w:shd w:val="clear" w:color="auto" w:fill="FFFFFF" w:themeFill="background1"/>
      </w:tcPr>
    </w:tblStylePr>
    <w:tblStylePr w:type="lastRow">
      <w:tblPr/>
      <w:tcPr>
        <w:tcBorders>
          <w:top w:val="single" w:sz="8" w:space="0" w:color="156082"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56082" w:themeColor="accent1"/>
          <w:insideH w:val="nil"/>
          <w:insideV w:val="nil"/>
        </w:tcBorders>
        <w:shd w:val="clear" w:color="auto" w:fill="FFFFFF" w:themeFill="background1"/>
      </w:tcPr>
    </w:tblStylePr>
    <w:tblStylePr w:type="lastCol">
      <w:tblPr/>
      <w:tcPr>
        <w:tcBorders>
          <w:top w:val="nil"/>
          <w:left w:val="single" w:sz="8" w:space="0" w:color="156082"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top w:val="nil"/>
          <w:bottom w:val="nil"/>
          <w:insideH w:val="nil"/>
          <w:insideV w:val="nil"/>
        </w:tcBorders>
        <w:shd w:val="clear" w:color="auto" w:fill="B2DEF2"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rPr>
        <w:sz w:val="24"/>
        <w:szCs w:val="24"/>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tblPr/>
      <w:tcPr>
        <w:tcBorders>
          <w:top w:val="single" w:sz="8" w:space="0" w:color="E97132"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E97132" w:themeColor="accent2"/>
          <w:insideH w:val="nil"/>
          <w:insideV w:val="nil"/>
        </w:tcBorders>
        <w:shd w:val="clear" w:color="auto" w:fill="FFFFFF" w:themeFill="background1"/>
      </w:tcPr>
    </w:tblStylePr>
    <w:tblStylePr w:type="lastCol">
      <w:tblPr/>
      <w:tcPr>
        <w:tcBorders>
          <w:top w:val="nil"/>
          <w:left w:val="single" w:sz="8" w:space="0" w:color="E97132"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top w:val="nil"/>
          <w:bottom w:val="nil"/>
          <w:insideH w:val="nil"/>
          <w:insideV w:val="nil"/>
        </w:tcBorders>
        <w:shd w:val="clear" w:color="auto" w:fill="F9DBCC"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rPr>
        <w:sz w:val="24"/>
        <w:szCs w:val="24"/>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tblPr/>
      <w:tcPr>
        <w:tcBorders>
          <w:top w:val="single" w:sz="8" w:space="0" w:color="196B24"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96B24" w:themeColor="accent3"/>
          <w:insideH w:val="nil"/>
          <w:insideV w:val="nil"/>
        </w:tcBorders>
        <w:shd w:val="clear" w:color="auto" w:fill="FFFFFF" w:themeFill="background1"/>
      </w:tcPr>
    </w:tblStylePr>
    <w:tblStylePr w:type="lastCol">
      <w:tblPr/>
      <w:tcPr>
        <w:tcBorders>
          <w:top w:val="nil"/>
          <w:left w:val="single" w:sz="8" w:space="0" w:color="196B24"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top w:val="nil"/>
          <w:bottom w:val="nil"/>
          <w:insideH w:val="nil"/>
          <w:insideV w:val="nil"/>
        </w:tcBorders>
        <w:shd w:val="clear" w:color="auto" w:fill="B3EDBA"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rPr>
        <w:sz w:val="24"/>
        <w:szCs w:val="24"/>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tblPr/>
      <w:tcPr>
        <w:tcBorders>
          <w:top w:val="single" w:sz="8" w:space="0" w:color="0F9ED5"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F9ED5" w:themeColor="accent4"/>
          <w:insideH w:val="nil"/>
          <w:insideV w:val="nil"/>
        </w:tcBorders>
        <w:shd w:val="clear" w:color="auto" w:fill="FFFFFF" w:themeFill="background1"/>
      </w:tcPr>
    </w:tblStylePr>
    <w:tblStylePr w:type="lastCol">
      <w:tblPr/>
      <w:tcPr>
        <w:tcBorders>
          <w:top w:val="nil"/>
          <w:left w:val="single" w:sz="8" w:space="0" w:color="0F9ED5"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top w:val="nil"/>
          <w:bottom w:val="nil"/>
          <w:insideH w:val="nil"/>
          <w:insideV w:val="nil"/>
        </w:tcBorders>
        <w:shd w:val="clear" w:color="auto" w:fill="BDE9FA"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rPr>
        <w:sz w:val="24"/>
        <w:szCs w:val="24"/>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tblPr/>
      <w:tcPr>
        <w:tcBorders>
          <w:top w:val="single" w:sz="8" w:space="0" w:color="A02B93"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A02B93" w:themeColor="accent5"/>
          <w:insideH w:val="nil"/>
          <w:insideV w:val="nil"/>
        </w:tcBorders>
        <w:shd w:val="clear" w:color="auto" w:fill="FFFFFF" w:themeFill="background1"/>
      </w:tcPr>
    </w:tblStylePr>
    <w:tblStylePr w:type="lastCol">
      <w:tblPr/>
      <w:tcPr>
        <w:tcBorders>
          <w:top w:val="nil"/>
          <w:left w:val="single" w:sz="8" w:space="0" w:color="A02B93"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top w:val="nil"/>
          <w:bottom w:val="nil"/>
          <w:insideH w:val="nil"/>
          <w:insideV w:val="nil"/>
        </w:tcBorders>
        <w:shd w:val="clear" w:color="auto" w:fill="EFC3E9"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rPr>
        <w:sz w:val="24"/>
        <w:szCs w:val="24"/>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tblPr/>
      <w:tcPr>
        <w:tcBorders>
          <w:top w:val="single" w:sz="8" w:space="0" w:color="4EA72E"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EA72E" w:themeColor="accent6"/>
          <w:insideH w:val="nil"/>
          <w:insideV w:val="nil"/>
        </w:tcBorders>
        <w:shd w:val="clear" w:color="auto" w:fill="FFFFFF" w:themeFill="background1"/>
      </w:tcPr>
    </w:tblStylePr>
    <w:tblStylePr w:type="lastCol">
      <w:tblPr/>
      <w:tcPr>
        <w:tcBorders>
          <w:top w:val="nil"/>
          <w:left w:val="single" w:sz="8" w:space="0" w:color="4EA72E"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top w:val="nil"/>
          <w:bottom w:val="nil"/>
          <w:insideH w:val="nil"/>
          <w:insideV w:val="nil"/>
        </w:tcBorders>
        <w:shd w:val="clear" w:color="auto" w:fill="D0EFC5"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insideV w:val="single" w:sz="8" w:space="0" w:color="2198CF" w:themeColor="accent1" w:themeTint="BF"/>
      </w:tblBorders>
    </w:tblPr>
    <w:tcPr>
      <w:shd w:val="clear" w:color="auto" w:fill="B2DEF2" w:themeFill="accent1" w:themeFillTint="3F"/>
    </w:tcPr>
    <w:tblStylePr w:type="firstRow">
      <w:rPr>
        <w:b/>
        <w:bCs/>
      </w:rPr>
    </w:tblStylePr>
    <w:tblStylePr w:type="lastRow">
      <w:rPr>
        <w:b/>
        <w:bCs/>
      </w:rPr>
      <w:tblPr/>
      <w:tcPr>
        <w:tcBorders>
          <w:top w:val="single" w:sz="18" w:space="0" w:color="2198CF" w:themeColor="accent1" w:themeTint="BF"/>
        </w:tcBorders>
      </w:tcPr>
    </w:tblStylePr>
    <w:tblStylePr w:type="firstCol">
      <w:rPr>
        <w:b/>
        <w:bCs/>
      </w:rPr>
    </w:tblStylePr>
    <w:tblStylePr w:type="lastCol">
      <w:rPr>
        <w:b/>
        <w:bCs/>
      </w:r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insideV w:val="single" w:sz="8" w:space="0" w:color="EE9465" w:themeColor="accent2" w:themeTint="BF"/>
      </w:tblBorders>
    </w:tblPr>
    <w:tcPr>
      <w:shd w:val="clear" w:color="auto" w:fill="F9DBCC" w:themeFill="accent2" w:themeFillTint="3F"/>
    </w:tcPr>
    <w:tblStylePr w:type="firstRow">
      <w:rPr>
        <w:b/>
        <w:bCs/>
      </w:rPr>
    </w:tblStylePr>
    <w:tblStylePr w:type="lastRow">
      <w:rPr>
        <w:b/>
        <w:bCs/>
      </w:rPr>
      <w:tblPr/>
      <w:tcPr>
        <w:tcBorders>
          <w:top w:val="single" w:sz="18" w:space="0" w:color="EE9465" w:themeColor="accent2" w:themeTint="BF"/>
        </w:tcBorders>
      </w:tcPr>
    </w:tblStylePr>
    <w:tblStylePr w:type="firstCol">
      <w:rPr>
        <w:b/>
        <w:bCs/>
      </w:rPr>
    </w:tblStylePr>
    <w:tblStylePr w:type="lastCol">
      <w:rPr>
        <w:b/>
        <w:bCs/>
      </w:r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insideV w:val="single" w:sz="8" w:space="0" w:color="2BB73D" w:themeColor="accent3" w:themeTint="BF"/>
      </w:tblBorders>
    </w:tblPr>
    <w:tcPr>
      <w:shd w:val="clear" w:color="auto" w:fill="B3EDBA" w:themeFill="accent3" w:themeFillTint="3F"/>
    </w:tcPr>
    <w:tblStylePr w:type="firstRow">
      <w:rPr>
        <w:b/>
        <w:bCs/>
      </w:rPr>
    </w:tblStylePr>
    <w:tblStylePr w:type="lastRow">
      <w:rPr>
        <w:b/>
        <w:bCs/>
      </w:rPr>
      <w:tblPr/>
      <w:tcPr>
        <w:tcBorders>
          <w:top w:val="single" w:sz="18" w:space="0" w:color="2BB73D" w:themeColor="accent3" w:themeTint="BF"/>
        </w:tcBorders>
      </w:tcPr>
    </w:tblStylePr>
    <w:tblStylePr w:type="firstCol">
      <w:rPr>
        <w:b/>
        <w:bCs/>
      </w:rPr>
    </w:tblStylePr>
    <w:tblStylePr w:type="lastCol">
      <w:rPr>
        <w:b/>
        <w:bCs/>
      </w:r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insideV w:val="single" w:sz="8" w:space="0" w:color="39BEF1" w:themeColor="accent4" w:themeTint="BF"/>
      </w:tblBorders>
    </w:tblPr>
    <w:tcPr>
      <w:shd w:val="clear" w:color="auto" w:fill="BDE9FA" w:themeFill="accent4" w:themeFillTint="3F"/>
    </w:tcPr>
    <w:tblStylePr w:type="firstRow">
      <w:rPr>
        <w:b/>
        <w:bCs/>
      </w:rPr>
    </w:tblStylePr>
    <w:tblStylePr w:type="lastRow">
      <w:rPr>
        <w:b/>
        <w:bCs/>
      </w:rPr>
      <w:tblPr/>
      <w:tcPr>
        <w:tcBorders>
          <w:top w:val="single" w:sz="18" w:space="0" w:color="39BEF1" w:themeColor="accent4" w:themeTint="BF"/>
        </w:tcBorders>
      </w:tcPr>
    </w:tblStylePr>
    <w:tblStylePr w:type="firstCol">
      <w:rPr>
        <w:b/>
        <w:bCs/>
      </w:rPr>
    </w:tblStylePr>
    <w:tblStylePr w:type="lastCol">
      <w:rPr>
        <w:b/>
        <w:bCs/>
      </w:r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insideV w:val="single" w:sz="8" w:space="0" w:color="CE49BF" w:themeColor="accent5" w:themeTint="BF"/>
      </w:tblBorders>
    </w:tblPr>
    <w:tcPr>
      <w:shd w:val="clear" w:color="auto" w:fill="EFC3E9" w:themeFill="accent5" w:themeFillTint="3F"/>
    </w:tcPr>
    <w:tblStylePr w:type="firstRow">
      <w:rPr>
        <w:b/>
        <w:bCs/>
      </w:rPr>
    </w:tblStylePr>
    <w:tblStylePr w:type="lastRow">
      <w:rPr>
        <w:b/>
        <w:bCs/>
      </w:rPr>
      <w:tblPr/>
      <w:tcPr>
        <w:tcBorders>
          <w:top w:val="single" w:sz="18" w:space="0" w:color="CE49BF" w:themeColor="accent5" w:themeTint="BF"/>
        </w:tcBorders>
      </w:tcPr>
    </w:tblStylePr>
    <w:tblStylePr w:type="firstCol">
      <w:rPr>
        <w:b/>
        <w:bCs/>
      </w:rPr>
    </w:tblStylePr>
    <w:tblStylePr w:type="lastCol">
      <w:rPr>
        <w:b/>
        <w:bCs/>
      </w:r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insideV w:val="single" w:sz="8" w:space="0" w:color="71CF50" w:themeColor="accent6" w:themeTint="BF"/>
      </w:tblBorders>
    </w:tblPr>
    <w:tcPr>
      <w:shd w:val="clear" w:color="auto" w:fill="D0EFC5" w:themeFill="accent6" w:themeFillTint="3F"/>
    </w:tcPr>
    <w:tblStylePr w:type="firstRow">
      <w:rPr>
        <w:b/>
        <w:bCs/>
      </w:rPr>
    </w:tblStylePr>
    <w:tblStylePr w:type="lastRow">
      <w:rPr>
        <w:b/>
        <w:bCs/>
      </w:rPr>
      <w:tblPr/>
      <w:tcPr>
        <w:tcBorders>
          <w:top w:val="single" w:sz="18" w:space="0" w:color="71CF50" w:themeColor="accent6" w:themeTint="BF"/>
        </w:tcBorders>
      </w:tcPr>
    </w:tblStylePr>
    <w:tblStylePr w:type="firstCol">
      <w:rPr>
        <w:b/>
        <w:bCs/>
      </w:rPr>
    </w:tblStylePr>
    <w:tblStylePr w:type="lastCol">
      <w:rPr>
        <w:b/>
        <w:bCs/>
      </w:r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cPr>
      <w:shd w:val="clear" w:color="auto" w:fill="B2DEF2" w:themeFill="accent1" w:themeFillTint="3F"/>
    </w:tcPr>
    <w:tblStylePr w:type="firstRow">
      <w:rPr>
        <w:b/>
        <w:bCs/>
        <w:color w:val="000000" w:themeColor="text1"/>
      </w:rPr>
      <w:tblPr/>
      <w:tcPr>
        <w:shd w:val="clear" w:color="auto" w:fill="E0F2FA"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E4F5" w:themeFill="accent1" w:themeFillTint="33"/>
      </w:tcPr>
    </w:tblStylePr>
    <w:tblStylePr w:type="band1Vert">
      <w:tblPr/>
      <w:tcPr>
        <w:shd w:val="clear" w:color="auto" w:fill="64BDE6" w:themeFill="accent1" w:themeFillTint="7F"/>
      </w:tcPr>
    </w:tblStylePr>
    <w:tblStylePr w:type="band1Horz">
      <w:tblPr/>
      <w:tcPr>
        <w:tcBorders>
          <w:insideH w:val="single" w:sz="6" w:space="0" w:color="156082" w:themeColor="accent1"/>
          <w:insideV w:val="single" w:sz="6" w:space="0" w:color="156082" w:themeColor="accent1"/>
        </w:tcBorders>
        <w:shd w:val="clear" w:color="auto" w:fill="64BDE6"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cPr>
      <w:shd w:val="clear" w:color="auto" w:fill="F9DBCC" w:themeFill="accent2" w:themeFillTint="3F"/>
    </w:tcPr>
    <w:tblStylePr w:type="firstRow">
      <w:rPr>
        <w:b/>
        <w:bCs/>
        <w:color w:val="000000" w:themeColor="text1"/>
      </w:rPr>
      <w:tblPr/>
      <w:tcPr>
        <w:shd w:val="clear" w:color="auto" w:fill="FCF0EA"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AE2D5" w:themeFill="accent2" w:themeFillTint="33"/>
      </w:tcPr>
    </w:tblStylePr>
    <w:tblStylePr w:type="band1Vert">
      <w:tblPr/>
      <w:tcPr>
        <w:shd w:val="clear" w:color="auto" w:fill="F4B798" w:themeFill="accent2" w:themeFillTint="7F"/>
      </w:tcPr>
    </w:tblStylePr>
    <w:tblStylePr w:type="band1Horz">
      <w:tblPr/>
      <w:tcPr>
        <w:tcBorders>
          <w:insideH w:val="single" w:sz="6" w:space="0" w:color="E97132" w:themeColor="accent2"/>
          <w:insideV w:val="single" w:sz="6" w:space="0" w:color="E97132" w:themeColor="accent2"/>
        </w:tcBorders>
        <w:shd w:val="clear" w:color="auto" w:fill="F4B798"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cPr>
      <w:shd w:val="clear" w:color="auto" w:fill="B3EDBA" w:themeFill="accent3" w:themeFillTint="3F"/>
    </w:tcPr>
    <w:tblStylePr w:type="firstRow">
      <w:rPr>
        <w:b/>
        <w:bCs/>
        <w:color w:val="000000" w:themeColor="text1"/>
      </w:rPr>
      <w:tblPr/>
      <w:tcPr>
        <w:shd w:val="clear" w:color="auto" w:fill="E0F8E3"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F0C7" w:themeFill="accent3" w:themeFillTint="33"/>
      </w:tcPr>
    </w:tblStylePr>
    <w:tblStylePr w:type="band1Vert">
      <w:tblPr/>
      <w:tcPr>
        <w:shd w:val="clear" w:color="auto" w:fill="66DB75" w:themeFill="accent3" w:themeFillTint="7F"/>
      </w:tcPr>
    </w:tblStylePr>
    <w:tblStylePr w:type="band1Horz">
      <w:tblPr/>
      <w:tcPr>
        <w:tcBorders>
          <w:insideH w:val="single" w:sz="6" w:space="0" w:color="196B24" w:themeColor="accent3"/>
          <w:insideV w:val="single" w:sz="6" w:space="0" w:color="196B24" w:themeColor="accent3"/>
        </w:tcBorders>
        <w:shd w:val="clear" w:color="auto" w:fill="66DB75"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cPr>
      <w:shd w:val="clear" w:color="auto" w:fill="BDE9FA" w:themeFill="accent4" w:themeFillTint="3F"/>
    </w:tcPr>
    <w:tblStylePr w:type="firstRow">
      <w:rPr>
        <w:b/>
        <w:bCs/>
        <w:color w:val="000000" w:themeColor="text1"/>
      </w:rPr>
      <w:tblPr/>
      <w:tcPr>
        <w:shd w:val="clear" w:color="auto" w:fill="E5F6FD"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AEDFB" w:themeFill="accent4" w:themeFillTint="33"/>
      </w:tcPr>
    </w:tblStylePr>
    <w:tblStylePr w:type="band1Vert">
      <w:tblPr/>
      <w:tcPr>
        <w:shd w:val="clear" w:color="auto" w:fill="7BD3F5" w:themeFill="accent4" w:themeFillTint="7F"/>
      </w:tcPr>
    </w:tblStylePr>
    <w:tblStylePr w:type="band1Horz">
      <w:tblPr/>
      <w:tcPr>
        <w:tcBorders>
          <w:insideH w:val="single" w:sz="6" w:space="0" w:color="0F9ED5" w:themeColor="accent4"/>
          <w:insideV w:val="single" w:sz="6" w:space="0" w:color="0F9ED5" w:themeColor="accent4"/>
        </w:tcBorders>
        <w:shd w:val="clear" w:color="auto" w:fill="7BD3F5"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cPr>
      <w:shd w:val="clear" w:color="auto" w:fill="EFC3E9" w:themeFill="accent5" w:themeFillTint="3F"/>
    </w:tcPr>
    <w:tblStylePr w:type="firstRow">
      <w:rPr>
        <w:b/>
        <w:bCs/>
        <w:color w:val="000000" w:themeColor="text1"/>
      </w:rPr>
      <w:tblPr/>
      <w:tcPr>
        <w:shd w:val="clear" w:color="auto" w:fill="F8E7F6"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CEED" w:themeFill="accent5" w:themeFillTint="33"/>
      </w:tcPr>
    </w:tblStylePr>
    <w:tblStylePr w:type="band1Vert">
      <w:tblPr/>
      <w:tcPr>
        <w:shd w:val="clear" w:color="auto" w:fill="DE86D4" w:themeFill="accent5" w:themeFillTint="7F"/>
      </w:tcPr>
    </w:tblStylePr>
    <w:tblStylePr w:type="band1Horz">
      <w:tblPr/>
      <w:tcPr>
        <w:tcBorders>
          <w:insideH w:val="single" w:sz="6" w:space="0" w:color="A02B93" w:themeColor="accent5"/>
          <w:insideV w:val="single" w:sz="6" w:space="0" w:color="A02B93" w:themeColor="accent5"/>
        </w:tcBorders>
        <w:shd w:val="clear" w:color="auto" w:fill="DE86D4"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cPr>
      <w:shd w:val="clear" w:color="auto" w:fill="D0EFC5" w:themeFill="accent6" w:themeFillTint="3F"/>
    </w:tcPr>
    <w:tblStylePr w:type="firstRow">
      <w:rPr>
        <w:b/>
        <w:bCs/>
        <w:color w:val="000000" w:themeColor="text1"/>
      </w:rPr>
      <w:tblPr/>
      <w:tcPr>
        <w:shd w:val="clear" w:color="auto" w:fill="ECF8E8"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9F2D0" w:themeFill="accent6" w:themeFillTint="33"/>
      </w:tcPr>
    </w:tblStylePr>
    <w:tblStylePr w:type="band1Vert">
      <w:tblPr/>
      <w:tcPr>
        <w:shd w:val="clear" w:color="auto" w:fill="A0DF8A" w:themeFill="accent6" w:themeFillTint="7F"/>
      </w:tcPr>
    </w:tblStylePr>
    <w:tblStylePr w:type="band1Horz">
      <w:tblPr/>
      <w:tcPr>
        <w:tcBorders>
          <w:insideH w:val="single" w:sz="6" w:space="0" w:color="4EA72E" w:themeColor="accent6"/>
          <w:insideV w:val="single" w:sz="6" w:space="0" w:color="4EA72E" w:themeColor="accent6"/>
        </w:tcBorders>
        <w:shd w:val="clear" w:color="auto" w:fill="A0DF8A"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2DEF2"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56082"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56082"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4BDE6"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4BDE6"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9DBCC"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E97132"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E97132"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4B798"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4B798"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3EDBA"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96B24"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96B24"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6DB75"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6DB75"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DE9FA"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F9ED5"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F9ED5"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7BD3F5"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7BD3F5"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C3E9"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A02B93"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A02B93"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E86D4"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E86D4"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0EFC5"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EA72E"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EA72E"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0DF8A"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0DF8A"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156082"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A2F4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0F476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0F4761" w:themeFill="accent1" w:themeFillShade="BF"/>
      </w:tcPr>
    </w:tblStylePr>
    <w:tblStylePr w:type="band1Vert">
      <w:tblPr/>
      <w:tcPr>
        <w:tcBorders>
          <w:top w:val="nil"/>
          <w:left w:val="nil"/>
          <w:bottom w:val="nil"/>
          <w:right w:val="nil"/>
          <w:insideH w:val="nil"/>
          <w:insideV w:val="nil"/>
        </w:tcBorders>
        <w:shd w:val="clear" w:color="auto" w:fill="0F4761" w:themeFill="accent1" w:themeFillShade="BF"/>
      </w:tcPr>
    </w:tblStylePr>
    <w:tblStylePr w:type="band1Horz">
      <w:tblPr/>
      <w:tcPr>
        <w:tcBorders>
          <w:top w:val="nil"/>
          <w:left w:val="nil"/>
          <w:bottom w:val="nil"/>
          <w:right w:val="nil"/>
          <w:insideH w:val="nil"/>
          <w:insideV w:val="nil"/>
        </w:tcBorders>
        <w:shd w:val="clear" w:color="auto" w:fill="0F476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E97132"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7F340D"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BF4E1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BF4E14" w:themeFill="accent2" w:themeFillShade="BF"/>
      </w:tcPr>
    </w:tblStylePr>
    <w:tblStylePr w:type="band1Vert">
      <w:tblPr/>
      <w:tcPr>
        <w:tcBorders>
          <w:top w:val="nil"/>
          <w:left w:val="nil"/>
          <w:bottom w:val="nil"/>
          <w:right w:val="nil"/>
          <w:insideH w:val="nil"/>
          <w:insideV w:val="nil"/>
        </w:tcBorders>
        <w:shd w:val="clear" w:color="auto" w:fill="BF4E14" w:themeFill="accent2" w:themeFillShade="BF"/>
      </w:tcPr>
    </w:tblStylePr>
    <w:tblStylePr w:type="band1Horz">
      <w:tblPr/>
      <w:tcPr>
        <w:tcBorders>
          <w:top w:val="nil"/>
          <w:left w:val="nil"/>
          <w:bottom w:val="nil"/>
          <w:right w:val="nil"/>
          <w:insideH w:val="nil"/>
          <w:insideV w:val="nil"/>
        </w:tcBorders>
        <w:shd w:val="clear" w:color="auto" w:fill="BF4E1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196B24"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C3511"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124F1A"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124F1A" w:themeFill="accent3" w:themeFillShade="BF"/>
      </w:tcPr>
    </w:tblStylePr>
    <w:tblStylePr w:type="band1Vert">
      <w:tblPr/>
      <w:tcPr>
        <w:tcBorders>
          <w:top w:val="nil"/>
          <w:left w:val="nil"/>
          <w:bottom w:val="nil"/>
          <w:right w:val="nil"/>
          <w:insideH w:val="nil"/>
          <w:insideV w:val="nil"/>
        </w:tcBorders>
        <w:shd w:val="clear" w:color="auto" w:fill="124F1A" w:themeFill="accent3" w:themeFillShade="BF"/>
      </w:tcPr>
    </w:tblStylePr>
    <w:tblStylePr w:type="band1Horz">
      <w:tblPr/>
      <w:tcPr>
        <w:tcBorders>
          <w:top w:val="nil"/>
          <w:left w:val="nil"/>
          <w:bottom w:val="nil"/>
          <w:right w:val="nil"/>
          <w:insideH w:val="nil"/>
          <w:insideV w:val="nil"/>
        </w:tcBorders>
        <w:shd w:val="clear" w:color="auto" w:fill="124F1A"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0F9ED5"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74E69"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0B769F"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0B769F" w:themeFill="accent4" w:themeFillShade="BF"/>
      </w:tcPr>
    </w:tblStylePr>
    <w:tblStylePr w:type="band1Vert">
      <w:tblPr/>
      <w:tcPr>
        <w:tcBorders>
          <w:top w:val="nil"/>
          <w:left w:val="nil"/>
          <w:bottom w:val="nil"/>
          <w:right w:val="nil"/>
          <w:insideH w:val="nil"/>
          <w:insideV w:val="nil"/>
        </w:tcBorders>
        <w:shd w:val="clear" w:color="auto" w:fill="0B769F" w:themeFill="accent4" w:themeFillShade="BF"/>
      </w:tcPr>
    </w:tblStylePr>
    <w:tblStylePr w:type="band1Horz">
      <w:tblPr/>
      <w:tcPr>
        <w:tcBorders>
          <w:top w:val="nil"/>
          <w:left w:val="nil"/>
          <w:bottom w:val="nil"/>
          <w:right w:val="nil"/>
          <w:insideH w:val="nil"/>
          <w:insideV w:val="nil"/>
        </w:tcBorders>
        <w:shd w:val="clear" w:color="auto" w:fill="0B769F"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A02B93"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F1548"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77206D"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77206D" w:themeFill="accent5" w:themeFillShade="BF"/>
      </w:tcPr>
    </w:tblStylePr>
    <w:tblStylePr w:type="band1Vert">
      <w:tblPr/>
      <w:tcPr>
        <w:tcBorders>
          <w:top w:val="nil"/>
          <w:left w:val="nil"/>
          <w:bottom w:val="nil"/>
          <w:right w:val="nil"/>
          <w:insideH w:val="nil"/>
          <w:insideV w:val="nil"/>
        </w:tcBorders>
        <w:shd w:val="clear" w:color="auto" w:fill="77206D" w:themeFill="accent5" w:themeFillShade="BF"/>
      </w:tcPr>
    </w:tblStylePr>
    <w:tblStylePr w:type="band1Horz">
      <w:tblPr/>
      <w:tcPr>
        <w:tcBorders>
          <w:top w:val="nil"/>
          <w:left w:val="nil"/>
          <w:bottom w:val="nil"/>
          <w:right w:val="nil"/>
          <w:insideH w:val="nil"/>
          <w:insideV w:val="nil"/>
        </w:tcBorders>
        <w:shd w:val="clear" w:color="auto" w:fill="77206D"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4EA72E"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65317"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3A7C22"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3A7C22" w:themeFill="accent6" w:themeFillShade="BF"/>
      </w:tcPr>
    </w:tblStylePr>
    <w:tblStylePr w:type="band1Vert">
      <w:tblPr/>
      <w:tcPr>
        <w:tcBorders>
          <w:top w:val="nil"/>
          <w:left w:val="nil"/>
          <w:bottom w:val="nil"/>
          <w:right w:val="nil"/>
          <w:insideH w:val="nil"/>
          <w:insideV w:val="nil"/>
        </w:tcBorders>
        <w:shd w:val="clear" w:color="auto" w:fill="3A7C22" w:themeFill="accent6" w:themeFillShade="BF"/>
      </w:tcPr>
    </w:tblStylePr>
    <w:tblStylePr w:type="band1Horz">
      <w:tblPr/>
      <w:tcPr>
        <w:tcBorders>
          <w:top w:val="nil"/>
          <w:left w:val="nil"/>
          <w:bottom w:val="nil"/>
          <w:right w:val="nil"/>
          <w:insideH w:val="nil"/>
          <w:insideV w:val="nil"/>
        </w:tcBorders>
        <w:shd w:val="clear" w:color="auto" w:fill="3A7C22" w:themeFill="accent6" w:themeFillShade="BF"/>
      </w:tcPr>
    </w:tblStylePr>
  </w:style>
  <w:style w:type="table" w:styleId="Colou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u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156082" w:themeColor="accent1"/>
        <w:bottom w:val="single" w:sz="4" w:space="0" w:color="156082" w:themeColor="accent1"/>
        <w:right w:val="single" w:sz="4" w:space="0" w:color="156082" w:themeColor="accent1"/>
        <w:insideH w:val="single" w:sz="4" w:space="0" w:color="FFFFFF" w:themeColor="background1"/>
        <w:insideV w:val="single" w:sz="4" w:space="0" w:color="FFFFFF" w:themeColor="background1"/>
      </w:tblBorders>
    </w:tblPr>
    <w:tcPr>
      <w:shd w:val="clear" w:color="auto" w:fill="E0F2FA" w:themeFill="accen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C394D" w:themeFill="accent1" w:themeFillShade="99"/>
      </w:tcPr>
    </w:tblStylePr>
    <w:tblStylePr w:type="firstCol">
      <w:rPr>
        <w:color w:val="FFFFFF" w:themeColor="background1"/>
      </w:rPr>
      <w:tblPr/>
      <w:tcPr>
        <w:tcBorders>
          <w:top w:val="nil"/>
          <w:left w:val="nil"/>
          <w:bottom w:val="nil"/>
          <w:right w:val="nil"/>
          <w:insideH w:val="single" w:sz="4" w:space="0" w:color="0C394D" w:themeColor="accent1" w:themeShade="99"/>
          <w:insideV w:val="nil"/>
        </w:tcBorders>
        <w:shd w:val="clear" w:color="auto" w:fill="0C394D"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0C394D" w:themeFill="accent1" w:themeFillShade="99"/>
      </w:tcPr>
    </w:tblStylePr>
    <w:tblStylePr w:type="band1Vert">
      <w:tblPr/>
      <w:tcPr>
        <w:shd w:val="clear" w:color="auto" w:fill="83CAEB" w:themeFill="accent1" w:themeFillTint="66"/>
      </w:tcPr>
    </w:tblStylePr>
    <w:tblStylePr w:type="band1Horz">
      <w:tblPr/>
      <w:tcPr>
        <w:shd w:val="clear" w:color="auto" w:fill="64BDE6" w:themeFill="accent1" w:themeFillTint="7F"/>
      </w:tcPr>
    </w:tblStylePr>
    <w:tblStylePr w:type="neCell">
      <w:rPr>
        <w:color w:val="000000" w:themeColor="text1"/>
      </w:rPr>
    </w:tblStylePr>
    <w:tblStylePr w:type="nwCell">
      <w:rPr>
        <w:color w:val="000000" w:themeColor="text1"/>
      </w:rPr>
    </w:tblStylePr>
  </w:style>
  <w:style w:type="table" w:styleId="Colou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E97132" w:themeColor="accent2"/>
        <w:bottom w:val="single" w:sz="4" w:space="0" w:color="E97132" w:themeColor="accent2"/>
        <w:right w:val="single" w:sz="4" w:space="0" w:color="E97132" w:themeColor="accent2"/>
        <w:insideH w:val="single" w:sz="4" w:space="0" w:color="FFFFFF" w:themeColor="background1"/>
        <w:insideV w:val="single" w:sz="4" w:space="0" w:color="FFFFFF" w:themeColor="background1"/>
      </w:tblBorders>
    </w:tblPr>
    <w:tcPr>
      <w:shd w:val="clear" w:color="auto" w:fill="FCF0EA" w:themeFill="accent2"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993F10" w:themeFill="accent2" w:themeFillShade="99"/>
      </w:tcPr>
    </w:tblStylePr>
    <w:tblStylePr w:type="firstCol">
      <w:rPr>
        <w:color w:val="FFFFFF" w:themeColor="background1"/>
      </w:rPr>
      <w:tblPr/>
      <w:tcPr>
        <w:tcBorders>
          <w:top w:val="nil"/>
          <w:left w:val="nil"/>
          <w:bottom w:val="nil"/>
          <w:right w:val="nil"/>
          <w:insideH w:val="single" w:sz="4" w:space="0" w:color="993F10" w:themeColor="accent2" w:themeShade="99"/>
          <w:insideV w:val="nil"/>
        </w:tcBorders>
        <w:shd w:val="clear" w:color="auto" w:fill="993F10"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993F10" w:themeFill="accent2" w:themeFillShade="99"/>
      </w:tcPr>
    </w:tblStylePr>
    <w:tblStylePr w:type="band1Vert">
      <w:tblPr/>
      <w:tcPr>
        <w:shd w:val="clear" w:color="auto" w:fill="F6C5AC" w:themeFill="accent2" w:themeFillTint="66"/>
      </w:tcPr>
    </w:tblStylePr>
    <w:tblStylePr w:type="band1Horz">
      <w:tblPr/>
      <w:tcPr>
        <w:shd w:val="clear" w:color="auto" w:fill="F4B798" w:themeFill="accent2" w:themeFillTint="7F"/>
      </w:tcPr>
    </w:tblStylePr>
    <w:tblStylePr w:type="neCell">
      <w:rPr>
        <w:color w:val="000000" w:themeColor="text1"/>
      </w:rPr>
    </w:tblStylePr>
    <w:tblStylePr w:type="nwCell">
      <w:rPr>
        <w:color w:val="000000" w:themeColor="text1"/>
      </w:rPr>
    </w:tblStylePr>
  </w:style>
  <w:style w:type="table" w:styleId="Colou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0F9ED5" w:themeColor="accent4"/>
        <w:left w:val="single" w:sz="4" w:space="0" w:color="196B24" w:themeColor="accent3"/>
        <w:bottom w:val="single" w:sz="4" w:space="0" w:color="196B24" w:themeColor="accent3"/>
        <w:right w:val="single" w:sz="4" w:space="0" w:color="196B24" w:themeColor="accent3"/>
        <w:insideH w:val="single" w:sz="4" w:space="0" w:color="FFFFFF" w:themeColor="background1"/>
        <w:insideV w:val="single" w:sz="4" w:space="0" w:color="FFFFFF" w:themeColor="background1"/>
      </w:tblBorders>
    </w:tblPr>
    <w:tcPr>
      <w:shd w:val="clear" w:color="auto" w:fill="E0F8E3" w:themeFill="accent3" w:themeFillTint="19"/>
    </w:tcPr>
    <w:tblStylePr w:type="firstRow">
      <w:rPr>
        <w:b/>
        <w:bCs/>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F4015" w:themeFill="accent3" w:themeFillShade="99"/>
      </w:tcPr>
    </w:tblStylePr>
    <w:tblStylePr w:type="firstCol">
      <w:rPr>
        <w:color w:val="FFFFFF" w:themeColor="background1"/>
      </w:rPr>
      <w:tblPr/>
      <w:tcPr>
        <w:tcBorders>
          <w:top w:val="nil"/>
          <w:left w:val="nil"/>
          <w:bottom w:val="nil"/>
          <w:right w:val="nil"/>
          <w:insideH w:val="single" w:sz="4" w:space="0" w:color="0F4015" w:themeColor="accent3" w:themeShade="99"/>
          <w:insideV w:val="nil"/>
        </w:tcBorders>
        <w:shd w:val="clear" w:color="auto" w:fill="0F4015"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0F4015" w:themeFill="accent3" w:themeFillShade="99"/>
      </w:tcPr>
    </w:tblStylePr>
    <w:tblStylePr w:type="band1Vert">
      <w:tblPr/>
      <w:tcPr>
        <w:shd w:val="clear" w:color="auto" w:fill="84E290" w:themeFill="accent3" w:themeFillTint="66"/>
      </w:tcPr>
    </w:tblStylePr>
    <w:tblStylePr w:type="band1Horz">
      <w:tblPr/>
      <w:tcPr>
        <w:shd w:val="clear" w:color="auto" w:fill="66DB75" w:themeFill="accent3" w:themeFillTint="7F"/>
      </w:tcPr>
    </w:tblStylePr>
  </w:style>
  <w:style w:type="table" w:styleId="Colou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196B24" w:themeColor="accent3"/>
        <w:left w:val="single" w:sz="4" w:space="0" w:color="0F9ED5" w:themeColor="accent4"/>
        <w:bottom w:val="single" w:sz="4" w:space="0" w:color="0F9ED5" w:themeColor="accent4"/>
        <w:right w:val="single" w:sz="4" w:space="0" w:color="0F9ED5" w:themeColor="accent4"/>
        <w:insideH w:val="single" w:sz="4" w:space="0" w:color="FFFFFF" w:themeColor="background1"/>
        <w:insideV w:val="single" w:sz="4" w:space="0" w:color="FFFFFF" w:themeColor="background1"/>
      </w:tblBorders>
    </w:tblPr>
    <w:tcPr>
      <w:shd w:val="clear" w:color="auto" w:fill="E5F6FD" w:themeFill="accent4" w:themeFillTint="19"/>
    </w:tcPr>
    <w:tblStylePr w:type="firstRow">
      <w:rPr>
        <w:b/>
        <w:bCs/>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95E7F" w:themeFill="accent4" w:themeFillShade="99"/>
      </w:tcPr>
    </w:tblStylePr>
    <w:tblStylePr w:type="firstCol">
      <w:rPr>
        <w:color w:val="FFFFFF" w:themeColor="background1"/>
      </w:rPr>
      <w:tblPr/>
      <w:tcPr>
        <w:tcBorders>
          <w:top w:val="nil"/>
          <w:left w:val="nil"/>
          <w:bottom w:val="nil"/>
          <w:right w:val="nil"/>
          <w:insideH w:val="single" w:sz="4" w:space="0" w:color="095E7F" w:themeColor="accent4" w:themeShade="99"/>
          <w:insideV w:val="nil"/>
        </w:tcBorders>
        <w:shd w:val="clear" w:color="auto" w:fill="095E7F"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095E7F" w:themeFill="accent4" w:themeFillShade="99"/>
      </w:tcPr>
    </w:tblStylePr>
    <w:tblStylePr w:type="band1Vert">
      <w:tblPr/>
      <w:tcPr>
        <w:shd w:val="clear" w:color="auto" w:fill="95DCF7" w:themeFill="accent4" w:themeFillTint="66"/>
      </w:tcPr>
    </w:tblStylePr>
    <w:tblStylePr w:type="band1Horz">
      <w:tblPr/>
      <w:tcPr>
        <w:shd w:val="clear" w:color="auto" w:fill="7BD3F5" w:themeFill="accent4" w:themeFillTint="7F"/>
      </w:tcPr>
    </w:tblStylePr>
    <w:tblStylePr w:type="neCell">
      <w:rPr>
        <w:color w:val="000000" w:themeColor="text1"/>
      </w:rPr>
    </w:tblStylePr>
    <w:tblStylePr w:type="nwCell">
      <w:rPr>
        <w:color w:val="000000" w:themeColor="text1"/>
      </w:rPr>
    </w:tblStylePr>
  </w:style>
  <w:style w:type="table" w:styleId="Colou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4EA72E" w:themeColor="accent6"/>
        <w:left w:val="single" w:sz="4" w:space="0" w:color="A02B93" w:themeColor="accent5"/>
        <w:bottom w:val="single" w:sz="4" w:space="0" w:color="A02B93" w:themeColor="accent5"/>
        <w:right w:val="single" w:sz="4" w:space="0" w:color="A02B93" w:themeColor="accent5"/>
        <w:insideH w:val="single" w:sz="4" w:space="0" w:color="FFFFFF" w:themeColor="background1"/>
        <w:insideV w:val="single" w:sz="4" w:space="0" w:color="FFFFFF" w:themeColor="background1"/>
      </w:tblBorders>
    </w:tblPr>
    <w:tcPr>
      <w:shd w:val="clear" w:color="auto" w:fill="F8E7F6" w:themeFill="accent5" w:themeFillTint="19"/>
    </w:tcPr>
    <w:tblStylePr w:type="firstRow">
      <w:rPr>
        <w:b/>
        <w:bCs/>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F1957" w:themeFill="accent5" w:themeFillShade="99"/>
      </w:tcPr>
    </w:tblStylePr>
    <w:tblStylePr w:type="firstCol">
      <w:rPr>
        <w:color w:val="FFFFFF" w:themeColor="background1"/>
      </w:rPr>
      <w:tblPr/>
      <w:tcPr>
        <w:tcBorders>
          <w:top w:val="nil"/>
          <w:left w:val="nil"/>
          <w:bottom w:val="nil"/>
          <w:right w:val="nil"/>
          <w:insideH w:val="single" w:sz="4" w:space="0" w:color="5F1957" w:themeColor="accent5" w:themeShade="99"/>
          <w:insideV w:val="nil"/>
        </w:tcBorders>
        <w:shd w:val="clear" w:color="auto" w:fill="5F1957"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5F1957" w:themeFill="accent5" w:themeFillShade="99"/>
      </w:tcPr>
    </w:tblStylePr>
    <w:tblStylePr w:type="band1Vert">
      <w:tblPr/>
      <w:tcPr>
        <w:shd w:val="clear" w:color="auto" w:fill="E59EDC" w:themeFill="accent5" w:themeFillTint="66"/>
      </w:tcPr>
    </w:tblStylePr>
    <w:tblStylePr w:type="band1Horz">
      <w:tblPr/>
      <w:tcPr>
        <w:shd w:val="clear" w:color="auto" w:fill="DE86D4" w:themeFill="accent5" w:themeFillTint="7F"/>
      </w:tcPr>
    </w:tblStylePr>
    <w:tblStylePr w:type="neCell">
      <w:rPr>
        <w:color w:val="000000" w:themeColor="text1"/>
      </w:rPr>
    </w:tblStylePr>
    <w:tblStylePr w:type="nwCell">
      <w:rPr>
        <w:color w:val="000000" w:themeColor="text1"/>
      </w:rPr>
    </w:tblStylePr>
  </w:style>
  <w:style w:type="table" w:styleId="Colou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A02B93" w:themeColor="accent5"/>
        <w:left w:val="single" w:sz="4" w:space="0" w:color="4EA72E" w:themeColor="accent6"/>
        <w:bottom w:val="single" w:sz="4" w:space="0" w:color="4EA72E" w:themeColor="accent6"/>
        <w:right w:val="single" w:sz="4" w:space="0" w:color="4EA72E" w:themeColor="accent6"/>
        <w:insideH w:val="single" w:sz="4" w:space="0" w:color="FFFFFF" w:themeColor="background1"/>
        <w:insideV w:val="single" w:sz="4" w:space="0" w:color="FFFFFF" w:themeColor="background1"/>
      </w:tblBorders>
    </w:tblPr>
    <w:tcPr>
      <w:shd w:val="clear" w:color="auto" w:fill="ECF8E8" w:themeFill="accent6" w:themeFillTint="19"/>
    </w:tcPr>
    <w:tblStylePr w:type="firstRow">
      <w:rPr>
        <w:b/>
        <w:bCs/>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E641B" w:themeFill="accent6" w:themeFillShade="99"/>
      </w:tcPr>
    </w:tblStylePr>
    <w:tblStylePr w:type="firstCol">
      <w:rPr>
        <w:color w:val="FFFFFF" w:themeColor="background1"/>
      </w:rPr>
      <w:tblPr/>
      <w:tcPr>
        <w:tcBorders>
          <w:top w:val="nil"/>
          <w:left w:val="nil"/>
          <w:bottom w:val="nil"/>
          <w:right w:val="nil"/>
          <w:insideH w:val="single" w:sz="4" w:space="0" w:color="2E641B" w:themeColor="accent6" w:themeShade="99"/>
          <w:insideV w:val="nil"/>
        </w:tcBorders>
        <w:shd w:val="clear" w:color="auto" w:fill="2E641B"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2E641B" w:themeFill="accent6" w:themeFillShade="99"/>
      </w:tcPr>
    </w:tblStylePr>
    <w:tblStylePr w:type="band1Vert">
      <w:tblPr/>
      <w:tcPr>
        <w:shd w:val="clear" w:color="auto" w:fill="B3E5A1" w:themeFill="accent6" w:themeFillTint="66"/>
      </w:tcPr>
    </w:tblStylePr>
    <w:tblStylePr w:type="band1Horz">
      <w:tblPr/>
      <w:tcPr>
        <w:shd w:val="clear" w:color="auto" w:fill="A0DF8A" w:themeFill="accent6" w:themeFillTint="7F"/>
      </w:tcPr>
    </w:tblStylePr>
    <w:tblStylePr w:type="neCell">
      <w:rPr>
        <w:color w:val="000000" w:themeColor="text1"/>
      </w:rPr>
    </w:tblStylePr>
    <w:tblStylePr w:type="nwCell">
      <w:rPr>
        <w:color w:val="000000" w:themeColor="text1"/>
      </w:rPr>
    </w:tblStylePr>
  </w:style>
  <w:style w:type="table" w:styleId="Colou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u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0F2FA" w:themeFill="accen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2DEF2" w:themeFill="accent1" w:themeFillTint="3F"/>
      </w:tcPr>
    </w:tblStylePr>
    <w:tblStylePr w:type="band1Horz">
      <w:tblPr/>
      <w:tcPr>
        <w:shd w:val="clear" w:color="auto" w:fill="C1E4F5" w:themeFill="accent1" w:themeFillTint="33"/>
      </w:tcPr>
    </w:tblStylePr>
  </w:style>
  <w:style w:type="table" w:styleId="Colou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CF0EA" w:themeFill="accent2"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9DBCC" w:themeFill="accent2" w:themeFillTint="3F"/>
      </w:tcPr>
    </w:tblStylePr>
    <w:tblStylePr w:type="band1Horz">
      <w:tblPr/>
      <w:tcPr>
        <w:shd w:val="clear" w:color="auto" w:fill="FAE2D5" w:themeFill="accent2" w:themeFillTint="33"/>
      </w:tcPr>
    </w:tblStylePr>
  </w:style>
  <w:style w:type="table" w:styleId="Colou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E0F8E3" w:themeFill="accent3" w:themeFillTint="19"/>
    </w:tcPr>
    <w:tblStylePr w:type="firstRow">
      <w:rPr>
        <w:b/>
        <w:bCs/>
        <w:color w:val="FFFFFF" w:themeColor="background1"/>
      </w:rPr>
      <w:tblPr/>
      <w:tcPr>
        <w:tcBorders>
          <w:bottom w:val="single" w:sz="12" w:space="0" w:color="FFFFFF" w:themeColor="background1"/>
        </w:tcBorders>
        <w:shd w:val="clear" w:color="auto" w:fill="0C7EAA" w:themeFill="accent4" w:themeFillShade="CC"/>
      </w:tcPr>
    </w:tblStylePr>
    <w:tblStylePr w:type="lastRow">
      <w:rPr>
        <w:b/>
        <w:bCs/>
        <w:color w:val="0C7EAA"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3EDBA" w:themeFill="accent3" w:themeFillTint="3F"/>
      </w:tcPr>
    </w:tblStylePr>
    <w:tblStylePr w:type="band1Horz">
      <w:tblPr/>
      <w:tcPr>
        <w:shd w:val="clear" w:color="auto" w:fill="C1F0C7" w:themeFill="accent3" w:themeFillTint="33"/>
      </w:tcPr>
    </w:tblStylePr>
  </w:style>
  <w:style w:type="table" w:styleId="Colou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E5F6FD" w:themeFill="accent4" w:themeFillTint="19"/>
    </w:tcPr>
    <w:tblStylePr w:type="firstRow">
      <w:rPr>
        <w:b/>
        <w:bCs/>
        <w:color w:val="FFFFFF" w:themeColor="background1"/>
      </w:rPr>
      <w:tblPr/>
      <w:tcPr>
        <w:tcBorders>
          <w:bottom w:val="single" w:sz="12" w:space="0" w:color="FFFFFF" w:themeColor="background1"/>
        </w:tcBorders>
        <w:shd w:val="clear" w:color="auto" w:fill="14551C" w:themeFill="accent3" w:themeFillShade="CC"/>
      </w:tcPr>
    </w:tblStylePr>
    <w:tblStylePr w:type="lastRow">
      <w:rPr>
        <w:b/>
        <w:bCs/>
        <w:color w:val="14551C"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DE9FA" w:themeFill="accent4" w:themeFillTint="3F"/>
      </w:tcPr>
    </w:tblStylePr>
    <w:tblStylePr w:type="band1Horz">
      <w:tblPr/>
      <w:tcPr>
        <w:shd w:val="clear" w:color="auto" w:fill="CAEDFB" w:themeFill="accent4" w:themeFillTint="33"/>
      </w:tcPr>
    </w:tblStylePr>
  </w:style>
  <w:style w:type="table" w:styleId="Colou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F8E7F6" w:themeFill="accent5" w:themeFillTint="19"/>
    </w:tcPr>
    <w:tblStylePr w:type="firstRow">
      <w:rPr>
        <w:b/>
        <w:bCs/>
        <w:color w:val="FFFFFF" w:themeColor="background1"/>
      </w:rPr>
      <w:tblPr/>
      <w:tcPr>
        <w:tcBorders>
          <w:bottom w:val="single" w:sz="12" w:space="0" w:color="FFFFFF" w:themeColor="background1"/>
        </w:tcBorders>
        <w:shd w:val="clear" w:color="auto" w:fill="3E8524" w:themeFill="accent6" w:themeFillShade="CC"/>
      </w:tcPr>
    </w:tblStylePr>
    <w:tblStylePr w:type="lastRow">
      <w:rPr>
        <w:b/>
        <w:bCs/>
        <w:color w:val="3E8524"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C3E9" w:themeFill="accent5" w:themeFillTint="3F"/>
      </w:tcPr>
    </w:tblStylePr>
    <w:tblStylePr w:type="band1Horz">
      <w:tblPr/>
      <w:tcPr>
        <w:shd w:val="clear" w:color="auto" w:fill="F2CEED" w:themeFill="accent5" w:themeFillTint="33"/>
      </w:tcPr>
    </w:tblStylePr>
  </w:style>
  <w:style w:type="table" w:styleId="Colou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ECF8E8" w:themeFill="accent6" w:themeFillTint="19"/>
    </w:tcPr>
    <w:tblStylePr w:type="firstRow">
      <w:rPr>
        <w:b/>
        <w:bCs/>
        <w:color w:val="FFFFFF" w:themeColor="background1"/>
      </w:rPr>
      <w:tblPr/>
      <w:tcPr>
        <w:tcBorders>
          <w:bottom w:val="single" w:sz="12" w:space="0" w:color="FFFFFF" w:themeColor="background1"/>
        </w:tcBorders>
        <w:shd w:val="clear" w:color="auto" w:fill="7F2275" w:themeFill="accent5" w:themeFillShade="CC"/>
      </w:tcPr>
    </w:tblStylePr>
    <w:tblStylePr w:type="lastRow">
      <w:rPr>
        <w:b/>
        <w:bCs/>
        <w:color w:val="7F227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0EFC5" w:themeFill="accent6" w:themeFillTint="3F"/>
      </w:tcPr>
    </w:tblStylePr>
    <w:tblStylePr w:type="band1Horz">
      <w:tblPr/>
      <w:tcPr>
        <w:shd w:val="clear" w:color="auto" w:fill="D9F2D0" w:themeFill="accent6" w:themeFillTint="33"/>
      </w:tcPr>
    </w:tblStylePr>
  </w:style>
  <w:style w:type="table" w:styleId="Colou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u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E4F5" w:themeFill="accent1" w:themeFillTint="33"/>
    </w:tcPr>
    <w:tblStylePr w:type="firstRow">
      <w:rPr>
        <w:b/>
        <w:bCs/>
      </w:rPr>
      <w:tblPr/>
      <w:tcPr>
        <w:shd w:val="clear" w:color="auto" w:fill="83CAEB" w:themeFill="accent1" w:themeFillTint="66"/>
      </w:tcPr>
    </w:tblStylePr>
    <w:tblStylePr w:type="lastRow">
      <w:rPr>
        <w:b/>
        <w:bCs/>
        <w:color w:val="000000" w:themeColor="text1"/>
      </w:rPr>
      <w:tblPr/>
      <w:tcPr>
        <w:shd w:val="clear" w:color="auto" w:fill="83CAEB" w:themeFill="accent1" w:themeFillTint="66"/>
      </w:tcPr>
    </w:tblStylePr>
    <w:tblStylePr w:type="firstCol">
      <w:rPr>
        <w:color w:val="FFFFFF" w:themeColor="background1"/>
      </w:rPr>
      <w:tblPr/>
      <w:tcPr>
        <w:shd w:val="clear" w:color="auto" w:fill="0F4761" w:themeFill="accent1" w:themeFillShade="BF"/>
      </w:tcPr>
    </w:tblStylePr>
    <w:tblStylePr w:type="lastCol">
      <w:rPr>
        <w:color w:val="FFFFFF" w:themeColor="background1"/>
      </w:rPr>
      <w:tblPr/>
      <w:tcPr>
        <w:shd w:val="clear" w:color="auto" w:fill="0F4761" w:themeFill="accent1" w:themeFillShade="BF"/>
      </w:tc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Colou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AE2D5" w:themeFill="accent2" w:themeFillTint="33"/>
    </w:tcPr>
    <w:tblStylePr w:type="firstRow">
      <w:rPr>
        <w:b/>
        <w:bCs/>
      </w:rPr>
      <w:tblPr/>
      <w:tcPr>
        <w:shd w:val="clear" w:color="auto" w:fill="F6C5AC" w:themeFill="accent2" w:themeFillTint="66"/>
      </w:tcPr>
    </w:tblStylePr>
    <w:tblStylePr w:type="lastRow">
      <w:rPr>
        <w:b/>
        <w:bCs/>
        <w:color w:val="000000" w:themeColor="text1"/>
      </w:rPr>
      <w:tblPr/>
      <w:tcPr>
        <w:shd w:val="clear" w:color="auto" w:fill="F6C5AC" w:themeFill="accent2" w:themeFillTint="66"/>
      </w:tcPr>
    </w:tblStylePr>
    <w:tblStylePr w:type="firstCol">
      <w:rPr>
        <w:color w:val="FFFFFF" w:themeColor="background1"/>
      </w:rPr>
      <w:tblPr/>
      <w:tcPr>
        <w:shd w:val="clear" w:color="auto" w:fill="BF4E14" w:themeFill="accent2" w:themeFillShade="BF"/>
      </w:tcPr>
    </w:tblStylePr>
    <w:tblStylePr w:type="lastCol">
      <w:rPr>
        <w:color w:val="FFFFFF" w:themeColor="background1"/>
      </w:rPr>
      <w:tblPr/>
      <w:tcPr>
        <w:shd w:val="clear" w:color="auto" w:fill="BF4E14" w:themeFill="accent2" w:themeFillShade="BF"/>
      </w:tc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Colou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F0C7" w:themeFill="accent3" w:themeFillTint="33"/>
    </w:tcPr>
    <w:tblStylePr w:type="firstRow">
      <w:rPr>
        <w:b/>
        <w:bCs/>
      </w:rPr>
      <w:tblPr/>
      <w:tcPr>
        <w:shd w:val="clear" w:color="auto" w:fill="84E290" w:themeFill="accent3" w:themeFillTint="66"/>
      </w:tcPr>
    </w:tblStylePr>
    <w:tblStylePr w:type="lastRow">
      <w:rPr>
        <w:b/>
        <w:bCs/>
        <w:color w:val="000000" w:themeColor="text1"/>
      </w:rPr>
      <w:tblPr/>
      <w:tcPr>
        <w:shd w:val="clear" w:color="auto" w:fill="84E290" w:themeFill="accent3" w:themeFillTint="66"/>
      </w:tcPr>
    </w:tblStylePr>
    <w:tblStylePr w:type="firstCol">
      <w:rPr>
        <w:color w:val="FFFFFF" w:themeColor="background1"/>
      </w:rPr>
      <w:tblPr/>
      <w:tcPr>
        <w:shd w:val="clear" w:color="auto" w:fill="124F1A" w:themeFill="accent3" w:themeFillShade="BF"/>
      </w:tcPr>
    </w:tblStylePr>
    <w:tblStylePr w:type="lastCol">
      <w:rPr>
        <w:color w:val="FFFFFF" w:themeColor="background1"/>
      </w:rPr>
      <w:tblPr/>
      <w:tcPr>
        <w:shd w:val="clear" w:color="auto" w:fill="124F1A" w:themeFill="accent3" w:themeFillShade="BF"/>
      </w:tc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Colou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AEDFB" w:themeFill="accent4" w:themeFillTint="33"/>
    </w:tcPr>
    <w:tblStylePr w:type="firstRow">
      <w:rPr>
        <w:b/>
        <w:bCs/>
      </w:rPr>
      <w:tblPr/>
      <w:tcPr>
        <w:shd w:val="clear" w:color="auto" w:fill="95DCF7" w:themeFill="accent4" w:themeFillTint="66"/>
      </w:tcPr>
    </w:tblStylePr>
    <w:tblStylePr w:type="lastRow">
      <w:rPr>
        <w:b/>
        <w:bCs/>
        <w:color w:val="000000" w:themeColor="text1"/>
      </w:rPr>
      <w:tblPr/>
      <w:tcPr>
        <w:shd w:val="clear" w:color="auto" w:fill="95DCF7" w:themeFill="accent4" w:themeFillTint="66"/>
      </w:tcPr>
    </w:tblStylePr>
    <w:tblStylePr w:type="firstCol">
      <w:rPr>
        <w:color w:val="FFFFFF" w:themeColor="background1"/>
      </w:rPr>
      <w:tblPr/>
      <w:tcPr>
        <w:shd w:val="clear" w:color="auto" w:fill="0B769F" w:themeFill="accent4" w:themeFillShade="BF"/>
      </w:tcPr>
    </w:tblStylePr>
    <w:tblStylePr w:type="lastCol">
      <w:rPr>
        <w:color w:val="FFFFFF" w:themeColor="background1"/>
      </w:rPr>
      <w:tblPr/>
      <w:tcPr>
        <w:shd w:val="clear" w:color="auto" w:fill="0B769F" w:themeFill="accent4" w:themeFillShade="BF"/>
      </w:tc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Colou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CEED" w:themeFill="accent5" w:themeFillTint="33"/>
    </w:tcPr>
    <w:tblStylePr w:type="firstRow">
      <w:rPr>
        <w:b/>
        <w:bCs/>
      </w:rPr>
      <w:tblPr/>
      <w:tcPr>
        <w:shd w:val="clear" w:color="auto" w:fill="E59EDC" w:themeFill="accent5" w:themeFillTint="66"/>
      </w:tcPr>
    </w:tblStylePr>
    <w:tblStylePr w:type="lastRow">
      <w:rPr>
        <w:b/>
        <w:bCs/>
        <w:color w:val="000000" w:themeColor="text1"/>
      </w:rPr>
      <w:tblPr/>
      <w:tcPr>
        <w:shd w:val="clear" w:color="auto" w:fill="E59EDC" w:themeFill="accent5" w:themeFillTint="66"/>
      </w:tcPr>
    </w:tblStylePr>
    <w:tblStylePr w:type="firstCol">
      <w:rPr>
        <w:color w:val="FFFFFF" w:themeColor="background1"/>
      </w:rPr>
      <w:tblPr/>
      <w:tcPr>
        <w:shd w:val="clear" w:color="auto" w:fill="77206D" w:themeFill="accent5" w:themeFillShade="BF"/>
      </w:tcPr>
    </w:tblStylePr>
    <w:tblStylePr w:type="lastCol">
      <w:rPr>
        <w:color w:val="FFFFFF" w:themeColor="background1"/>
      </w:rPr>
      <w:tblPr/>
      <w:tcPr>
        <w:shd w:val="clear" w:color="auto" w:fill="77206D" w:themeFill="accent5" w:themeFillShade="BF"/>
      </w:tc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Colou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9F2D0" w:themeFill="accent6" w:themeFillTint="33"/>
    </w:tcPr>
    <w:tblStylePr w:type="firstRow">
      <w:rPr>
        <w:b/>
        <w:bCs/>
      </w:rPr>
      <w:tblPr/>
      <w:tcPr>
        <w:shd w:val="clear" w:color="auto" w:fill="B3E5A1" w:themeFill="accent6" w:themeFillTint="66"/>
      </w:tcPr>
    </w:tblStylePr>
    <w:tblStylePr w:type="lastRow">
      <w:rPr>
        <w:b/>
        <w:bCs/>
        <w:color w:val="000000" w:themeColor="text1"/>
      </w:rPr>
      <w:tblPr/>
      <w:tcPr>
        <w:shd w:val="clear" w:color="auto" w:fill="B3E5A1" w:themeFill="accent6" w:themeFillTint="66"/>
      </w:tcPr>
    </w:tblStylePr>
    <w:tblStylePr w:type="firstCol">
      <w:rPr>
        <w:color w:val="FFFFFF" w:themeColor="background1"/>
      </w:rPr>
      <w:tblPr/>
      <w:tcPr>
        <w:shd w:val="clear" w:color="auto" w:fill="3A7C22" w:themeFill="accent6" w:themeFillShade="BF"/>
      </w:tcPr>
    </w:tblStylePr>
    <w:tblStylePr w:type="lastCol">
      <w:rPr>
        <w:color w:val="FFFFFF" w:themeColor="background1"/>
      </w:rPr>
      <w:tblPr/>
      <w:tcPr>
        <w:shd w:val="clear" w:color="auto" w:fill="3A7C22" w:themeFill="accent6" w:themeFillShade="BF"/>
      </w:tc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character" w:customStyle="1" w:styleId="NoSpacingChar">
    <w:name w:val="No Spacing Char"/>
    <w:basedOn w:val="DefaultParagraphFont"/>
    <w:link w:val="NoSpacing"/>
    <w:uiPriority w:val="1"/>
    <w:rsid w:val="00641096"/>
  </w:style>
  <w:style w:type="paragraph" w:customStyle="1" w:styleId="PersonalName">
    <w:name w:val="Personal Name"/>
    <w:basedOn w:val="Title"/>
    <w:rsid w:val="00641096"/>
    <w:rPr>
      <w:b/>
      <w:caps/>
      <w:color w:val="000000"/>
      <w:sz w:val="28"/>
      <w:szCs w:val="28"/>
    </w:rPr>
  </w:style>
  <w:style w:type="table" w:styleId="GridTable7ColourfulAccent6">
    <w:name w:val="Grid Table 7 Colorful Accent 6"/>
    <w:basedOn w:val="TableNormal"/>
    <w:uiPriority w:val="52"/>
    <w:rsid w:val="008F16EB"/>
    <w:pPr>
      <w:spacing w:after="0" w:line="240" w:lineRule="auto"/>
    </w:pPr>
    <w:rPr>
      <w:color w:val="3A7C22" w:themeColor="accent6" w:themeShade="BF"/>
    </w:rPr>
    <w:tblPr>
      <w:tblStyleRowBandSize w:val="1"/>
      <w:tblStyleColBandSize w:val="1"/>
      <w:tblBorders>
        <w:top w:val="single" w:sz="4" w:space="0" w:color="8DD873" w:themeColor="accent6" w:themeTint="99"/>
        <w:left w:val="single" w:sz="4" w:space="0" w:color="8DD873" w:themeColor="accent6" w:themeTint="99"/>
        <w:bottom w:val="single" w:sz="4" w:space="0" w:color="8DD873" w:themeColor="accent6" w:themeTint="99"/>
        <w:right w:val="single" w:sz="4" w:space="0" w:color="8DD873" w:themeColor="accent6" w:themeTint="99"/>
        <w:insideH w:val="single" w:sz="4" w:space="0" w:color="8DD873" w:themeColor="accent6" w:themeTint="99"/>
        <w:insideV w:val="single" w:sz="4" w:space="0" w:color="8DD873"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9F2D0" w:themeFill="accent6" w:themeFillTint="33"/>
      </w:tcPr>
    </w:tblStylePr>
    <w:tblStylePr w:type="band1Horz">
      <w:tblPr/>
      <w:tcPr>
        <w:shd w:val="clear" w:color="auto" w:fill="D9F2D0" w:themeFill="accent6" w:themeFillTint="33"/>
      </w:tcPr>
    </w:tblStylePr>
    <w:tblStylePr w:type="neCell">
      <w:tblPr/>
      <w:tcPr>
        <w:tcBorders>
          <w:bottom w:val="single" w:sz="4" w:space="0" w:color="8DD873" w:themeColor="accent6" w:themeTint="99"/>
        </w:tcBorders>
      </w:tcPr>
    </w:tblStylePr>
    <w:tblStylePr w:type="nwCell">
      <w:tblPr/>
      <w:tcPr>
        <w:tcBorders>
          <w:bottom w:val="single" w:sz="4" w:space="0" w:color="8DD873" w:themeColor="accent6" w:themeTint="99"/>
        </w:tcBorders>
      </w:tcPr>
    </w:tblStylePr>
    <w:tblStylePr w:type="seCell">
      <w:tblPr/>
      <w:tcPr>
        <w:tcBorders>
          <w:top w:val="single" w:sz="4" w:space="0" w:color="8DD873" w:themeColor="accent6" w:themeTint="99"/>
        </w:tcBorders>
      </w:tcPr>
    </w:tblStylePr>
    <w:tblStylePr w:type="swCell">
      <w:tblPr/>
      <w:tcPr>
        <w:tcBorders>
          <w:top w:val="single" w:sz="4" w:space="0" w:color="8DD873" w:themeColor="accent6" w:themeTint="99"/>
        </w:tcBorders>
      </w:tcPr>
    </w:tblStylePr>
  </w:style>
  <w:style w:type="table" w:styleId="GridTable1Light">
    <w:name w:val="Grid Table 1 Light"/>
    <w:basedOn w:val="TableNormal"/>
    <w:uiPriority w:val="99"/>
    <w:rsid w:val="008F16EB"/>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ListTable6Colourful">
    <w:name w:val="List Table 6 Colorful"/>
    <w:basedOn w:val="TableNormal"/>
    <w:uiPriority w:val="51"/>
    <w:rsid w:val="008F16EB"/>
    <w:pPr>
      <w:spacing w:after="0" w:line="240" w:lineRule="auto"/>
    </w:pPr>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PlainTable2">
    <w:name w:val="Plain Table 2"/>
    <w:basedOn w:val="TableNormal"/>
    <w:uiPriority w:val="99"/>
    <w:rsid w:val="008F16EB"/>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3">
    <w:name w:val="Plain Table 3"/>
    <w:basedOn w:val="TableNormal"/>
    <w:uiPriority w:val="99"/>
    <w:rsid w:val="008F16EB"/>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1">
    <w:name w:val="Plain Table 1"/>
    <w:basedOn w:val="TableNormal"/>
    <w:uiPriority w:val="99"/>
    <w:rsid w:val="008F16EB"/>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Noah">
    <w:name w:val="Noah"/>
    <w:basedOn w:val="TableNormal"/>
    <w:uiPriority w:val="99"/>
    <w:rsid w:val="008F16E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rPr>
        <w:color w:val="auto"/>
      </w:rPr>
      <w:tblPr/>
      <w:tcPr>
        <w:shd w:val="clear" w:color="auto" w:fill="E8E8E8" w:themeFill="background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 Id="rId8" Type="http://schemas.openxmlformats.org/officeDocument/2006/relationships/image" Target="media/image1.jpg"/><Relationship Id="rId9" Type="http://schemas.openxmlformats.org/officeDocument/2006/relationships/hyperlink" Target="https://www.frontpagemag.com/the-media-eagerly-takes-the-wrong-side-of-the-facts-on-girls-sports/" TargetMode="External"/><Relationship Id="rId10" Type="http://schemas.openxmlformats.org/officeDocument/2006/relationships/hyperlink" Target="https://www.apnews.com/article/bee8b140eb642acd53942c11f03993b6" TargetMode="External"/><Relationship Id="rId11" Type="http://schemas.openxmlformats.org/officeDocument/2006/relationships/hyperlink" Target="https://www.nbcnews.com/news/us-news/supreme-court-hears-case-transgender-athletes-school-sports-rcna12345" TargetMode="External"/><Relationship Id="rId12" Type="http://schemas.openxmlformats.org/officeDocument/2006/relationships/hyperlink" Target="https://www.axios.com/2026/06/30/supreme-court-transgender-sports-ban-ruling" TargetMode="External"/><Relationship Id="rId13" Type="http://schemas.openxmlformats.org/officeDocument/2006/relationships/hyperlink" Target="https://www.apnews.com/article/e01548be1fc0f574d9c274e077414075" TargetMode="External"/><Relationship Id="rId14" Type="http://schemas.openxmlformats.org/officeDocument/2006/relationships/hyperlink" Target="https://www.axios.com/local/phoenix/2026/06/30/supreme-court-rulings-arizona-birthright-citizenship-transgender-athletes"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http://schemas.openxmlformats.org/officeDocument/2006/relationships/officeDocument" TargetMode="External"/></Relationships>
</file>

<file path=word/theme/theme1.xml><?xml version="1.0" encoding="utf-8"?>
<a:theme xmlns:a="http://schemas.openxmlformats.org/drawingml/2006/main" name="Crop">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Crop">
      <a:majorFont>
        <a:latin typeface="Franklin Gothic Book" panose="020B0503020102020204"/>
        <a:ea typeface=""/>
        <a:cs typeface=""/>
      </a:majorFont>
      <a:minorFont>
        <a:latin typeface="Franklin Gothic Book" panose="020B0503020102020204"/>
        <a:ea typeface=""/>
        <a:cs typeface=""/>
      </a:minorFont>
    </a:fontScheme>
    <a:fmtScheme name="Crop">
      <a:fillStyleLst>
        <a:solidFill>
          <a:schemeClr val="phClr"/>
        </a:solidFill>
        <a:gradFill rotWithShape="1">
          <a:gsLst>
            <a:gs pos="0">
              <a:schemeClr val="phClr">
                <a:tint val="67000"/>
                <a:satMod val="105000"/>
                <a:lumMod val="110000"/>
              </a:schemeClr>
            </a:gs>
            <a:gs pos="50000">
              <a:schemeClr val="phClr">
                <a:tint val="73000"/>
                <a:satMod val="103000"/>
                <a:lumMod val="105000"/>
              </a:schemeClr>
            </a:gs>
            <a:gs pos="100000">
              <a:schemeClr val="phClr">
                <a:tint val="81000"/>
                <a:satMod val="109000"/>
                <a:lumMod val="105000"/>
              </a:schemeClr>
            </a:gs>
          </a:gsLst>
          <a:lin ang="5400000" scaled="0"/>
        </a:gradFill>
        <a:gradFill rotWithShape="1">
          <a:gsLst>
            <a:gs pos="0">
              <a:schemeClr val="phClr">
                <a:tint val="94000"/>
                <a:satMod val="103000"/>
                <a:lumMod val="102000"/>
              </a:schemeClr>
            </a:gs>
            <a:gs pos="50000">
              <a:schemeClr val="phClr">
                <a:shade val="100000"/>
                <a:satMod val="110000"/>
                <a:lumMod val="100000"/>
              </a:schemeClr>
            </a:gs>
            <a:gs pos="100000">
              <a:schemeClr val="phClr">
                <a:shade val="78000"/>
                <a:satMod val="120000"/>
                <a:lumMod val="99000"/>
              </a:schemeClr>
            </a:gs>
          </a:gsLst>
          <a:lin ang="5400000" scaled="0"/>
        </a:gradFill>
      </a:fillStyleLst>
      <a:lnStyleLst>
        <a:ln w="6350" cap="flat" cmpd="sng" algn="in">
          <a:solidFill>
            <a:schemeClr val="phClr"/>
          </a:solidFill>
          <a:prstDash val="solid"/>
        </a:ln>
        <a:ln w="34925" cap="flat" cmpd="sng" algn="in">
          <a:solidFill>
            <a:schemeClr val="phClr"/>
          </a:solidFill>
          <a:prstDash val="solid"/>
        </a:ln>
        <a:ln w="19050" cap="flat" cmpd="sng" algn="in">
          <a:solidFill>
            <a:schemeClr val="phClr"/>
          </a:solidFill>
          <a:prstDash val="solid"/>
        </a:ln>
      </a:lnStyleLst>
      <a:effectStyleLst>
        <a:effectStyle>
          <a:effectLst/>
        </a:effectStyle>
        <a:effectStyle>
          <a:effectLst/>
        </a:effectStyle>
        <a:effectStyle>
          <a:effectLst>
            <a:outerShdw blurRad="57150" dist="19050" dir="5400000" algn="ctr" rotWithShape="0">
              <a:srgbClr val="000000">
                <a:alpha val="35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hade val="98000"/>
                <a:satMod val="150000"/>
                <a:lumMod val="102000"/>
              </a:schemeClr>
            </a:gs>
            <a:gs pos="50000">
              <a:schemeClr val="phClr">
                <a:tint val="98000"/>
                <a:shade val="90000"/>
                <a:satMod val="13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Crop" id="{EC9488ED-E761-4D60-9AC4-764D1FE2C171}" vid="{CE19780C-D67D-4C13-9DE9-A52BC3BA51B4}"/>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template.dotx</Template>
  <TotalTime>1</TotalTime>
  <Pages>1</Pages>
  <Words>0</Words>
  <Characters>0</Characters>
  <Application>Microsoft Office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Joao Soares</dc:creator>
  <cp:keywords/>
  <dc:description>generated by python-docx</dc:description>
  <cp:lastModifiedBy>Joao Soares</cp:lastModifiedBy>
  <cp:revision>2</cp:revision>
  <dcterms:created xsi:type="dcterms:W3CDTF">2025-04-30T15:43:00Z</dcterms:created>
  <dcterms:modified xsi:type="dcterms:W3CDTF">2025-04-30T15:43:00Z</dcterms:modified>
  <cp:category/>
</cp:coreProperties>
</file>