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Indonesia Lists “Spread of LGBTQ Culture” as Nonmilitary Threat in National Defence Policy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for rights and critics alike have watched in alarm as Indonesia’s president officially labels the “spread of LGBTQ culture” a nonmilitary threat, an ideological and cultural entry in Presidential Regulation No. 111/2025 that signals government concern over social change and has real consequences for civil liberties and everyday life.</w:t>
      </w:r>
      <w:r/>
    </w:p>
    <w:p>
      <w:r/>
      <w:r>
        <w:t>Essential Takeaways</w:t>
      </w:r>
      <w:r/>
      <w:r/>
    </w:p>
    <w:p>
      <w:pPr>
        <w:pStyle w:val="ListBullet"/>
        <w:spacing w:line="240" w:lineRule="auto"/>
        <w:ind w:left="720"/>
      </w:pPr>
      <w:r/>
      <w:r>
        <w:rPr>
          <w:b/>
        </w:rPr>
        <w:t>Official classification:</w:t>
      </w:r>
      <w:r>
        <w:t xml:space="preserve"> Presidential Regulation No. 111/2025 places the “spread of LGBTQ culture” under nonmilitary threats to national resilience.</w:t>
      </w:r>
      <w:r/>
    </w:p>
    <w:p>
      <w:pPr>
        <w:pStyle w:val="ListBullet"/>
        <w:spacing w:line="240" w:lineRule="auto"/>
        <w:ind w:left="720"/>
      </w:pPr>
      <w:r/>
      <w:r>
        <w:rPr>
          <w:b/>
        </w:rPr>
        <w:t>Broader context:</w:t>
      </w:r>
      <w:r>
        <w:t xml:space="preserve"> The nonmilitary category groups social issues such as radicalism, separatism, online gambling and drug abuse with the LGBTQ designation.</w:t>
      </w:r>
      <w:r/>
    </w:p>
    <w:p>
      <w:pPr>
        <w:pStyle w:val="ListBullet"/>
        <w:spacing w:line="240" w:lineRule="auto"/>
        <w:ind w:left="720"/>
      </w:pPr>
      <w:r/>
      <w:r>
        <w:rPr>
          <w:b/>
        </w:rPr>
        <w:t>Legal landscape:</w:t>
      </w:r>
      <w:r>
        <w:t xml:space="preserve"> Indonesia’s recent Criminal Code and related provisions already include clauses that restrict same-sex acts in specific circumstances and could intersect with this policy.</w:t>
      </w:r>
      <w:r/>
    </w:p>
    <w:p>
      <w:pPr>
        <w:pStyle w:val="ListBullet"/>
        <w:spacing w:line="240" w:lineRule="auto"/>
        <w:ind w:left="720"/>
      </w:pPr>
      <w:r/>
      <w:r>
        <w:rPr>
          <w:b/>
        </w:rPr>
        <w:t>Social impact:</w:t>
      </w:r>
      <w:r>
        <w:t xml:space="preserve"> Rights groups and citizens warn this framing may increase stigma, discrimination and surveillance of LGBTQ people, while officials say it’s about protecting “traditional values.”</w:t>
      </w:r>
      <w:r/>
    </w:p>
    <w:p>
      <w:pPr>
        <w:pStyle w:val="ListBullet"/>
        <w:spacing w:line="240" w:lineRule="auto"/>
        <w:ind w:left="720"/>
      </w:pPr>
      <w:r/>
      <w:r>
        <w:rPr>
          <w:b/>
        </w:rPr>
        <w:t>Practical consequence:</w:t>
      </w:r>
      <w:r>
        <w:t xml:space="preserve"> The regulation provides a policy rationale that can justify educational, cultural and administrative responses at local and national levels.</w:t>
      </w:r>
      <w:r/>
      <w:r/>
    </w:p>
    <w:p>
      <w:pPr>
        <w:pStyle w:val="Heading2"/>
      </w:pPr>
      <w:r>
        <w:t>Why this matters: a culture question placed in the defence toolbox</w:t>
      </w:r>
      <w:r/>
    </w:p>
    <w:p>
      <w:r/>
      <w:r>
        <w:t>The strongest shock is how a cultural matter has been folded into a national defence policy, with a tangible, slightly sour feel to it: culture treated like a vulnerability. According to multiple local reports, Presidential Regulation No. 111/2025 explicitly lists the spread of LGBTQ culture among nonmilitary threats to Indonesia’s resilience. That shifts what might once have been framed as a social debate into a matter of state security planning, and it matters because defence frameworks carry resources, bureaucratic reach and moral weight.</w:t>
      </w:r>
      <w:r/>
    </w:p>
    <w:p>
      <w:r/>
      <w:r>
        <w:t>Observers say this doesn’t immediately change criminal law, but it does create official justification for extra attention from state bodies. For people who already face hostility, the designation risks increasing scrutiny in schools, workplaces and local administrations. If you’re trying to follow the ripple effects, watch for new guidance, public campaigns or funding streams aimed at “countering” cultural shifts.</w:t>
      </w:r>
      <w:r/>
    </w:p>
    <w:p>
      <w:pPr>
        <w:pStyle w:val="Heading2"/>
      </w:pPr>
      <w:r>
        <w:t>The regulation in context: how nonmilitary threats are defined</w:t>
      </w:r>
      <w:r/>
    </w:p>
    <w:p>
      <w:r/>
      <w:r>
        <w:t>Perpres 111 sets out military, nonmilitary and hybrid threats for 2025–2029, grouping ideological and social issues in the nonmilitary box alongside problems like radicalism and online fraud. Indonesian reporting frames this as part of a broader effort to protect what officials call national resilience and traditional values. That phrase is blunt and political, and it’s being used to explain why culture can be a vulnerability.</w:t>
      </w:r>
      <w:r/>
    </w:p>
    <w:p>
      <w:r/>
      <w:r>
        <w:t>This isn’t happening in a legal vacuum. Indonesia’s recent penal-code reforms and other legal provisions already put limits on some same-sex conduct, particularly where minors or coercion are involved. So while the regulation is a policy-level move, it synchronises with an evolving legislative and social trend that rights advocates find worrying.</w:t>
      </w:r>
      <w:r/>
    </w:p>
    <w:p>
      <w:pPr>
        <w:pStyle w:val="Heading2"/>
      </w:pPr>
      <w:r>
        <w:t>What rights groups and citizens are saying</w:t>
      </w:r>
      <w:r/>
    </w:p>
    <w:p>
      <w:r/>
      <w:r>
        <w:t>Reaction has been immediate and sharp in parts of Indonesia and abroad. Human-rights organisations argue that labelling LGBTQ culture a threat feeds discrimination and could legitimise exclusionary policies. Local media coverage captures a mixture of anxiety and anger from activists, who point out that such framing increases social stigma and could make everyday life harder for LGBTQ people.</w:t>
      </w:r>
      <w:r/>
    </w:p>
    <w:p>
      <w:r/>
      <w:r>
        <w:t>Meanwhile, supporters of the regulation say it protects social cohesion and traditional values. That tension is likely to play out in schools, religious institutions and municipal offices, where decisions about curricula, community programmes and public messaging are made. Expect debates to intensify in provinces with active local politics and conservative social mores.</w:t>
      </w:r>
      <w:r/>
    </w:p>
    <w:p>
      <w:pPr>
        <w:pStyle w:val="Heading2"/>
      </w:pPr>
      <w:r>
        <w:t>Practical effects to watch for, education, policing and public services</w:t>
      </w:r>
      <w:r/>
    </w:p>
    <w:p>
      <w:r/>
      <w:r>
        <w:t>In practice, the regulation gives officials a policy basis to act. That could mean anything from more conservative school policies about gender and sexuality education, to local campaigns discouraging LGBTQ visibility, to administrative checks on NGOs and online content. It may also influence how police and social services prioritise complaints and investigations.</w:t>
      </w:r>
      <w:r/>
    </w:p>
    <w:p>
      <w:r/>
      <w:r>
        <w:t>If you’re concerned or involved, a few things to monitor: new departmental regulations that implement the Perpres, municipal-level instructions, public education materials, and any shifts in NGO registration or funding. Knowing where and when changes are proposed gives citizens and advocacy groups the chance to respond quickly, whether through public comment, legal challenge or community support efforts.</w:t>
      </w:r>
      <w:r/>
    </w:p>
    <w:p>
      <w:pPr>
        <w:pStyle w:val="Heading2"/>
      </w:pPr>
      <w:r>
        <w:t>What it means going forward: a tense cultural crossroads</w:t>
      </w:r>
      <w:r/>
    </w:p>
    <w:p>
      <w:r/>
      <w:r>
        <w:t>This policy move feels like a crossroads: a government signalling cultural conservatism through a security lens, and a society grappling with plural views of identity and rights. According to local reporting, the regulation is effective as policy direction for 2025–2029, so expect the debate to be sustained rather than fleeting. For LGBTQ people and allies, the near term looks like a period of heightened vigilance; for policymakers, the challenge is balancing perceived cultural cohesion with the rights and dignity of citizens.</w:t>
      </w:r>
      <w:r/>
    </w:p>
    <w:p>
      <w:r/>
      <w:r>
        <w:t>It’s a development worth watching closely, because how a country defines its threats says a lot about what it values and fears.</w:t>
      </w:r>
      <w:r/>
    </w:p>
    <w:p>
      <w:r/>
      <w:r>
        <w:t>It's a small change in wording that may have big effects, keep an eye on local rules and community responses.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4">
        <w:r>
          <w:rPr>
            <w:color w:val="0000EE"/>
            <w:u w:val="single"/>
          </w:rPr>
          <w:t>[6]</w:t>
        </w:r>
      </w:hyperlink>
      <w:r>
        <w:t xml:space="preserve">, </w:t>
      </w:r>
      <w:hyperlink r:id="rId10">
        <w:r>
          <w:rPr>
            <w:color w:val="0000EE"/>
            <w:u w:val="single"/>
          </w:rPr>
          <w:t>[2]</w:t>
        </w:r>
      </w:hyperlink>
      <w:r>
        <w:t xml:space="preserve">- Paragraph 4: </w:t>
      </w:r>
      <w:hyperlink r:id="rId11">
        <w:r>
          <w:rPr>
            <w:color w:val="0000EE"/>
            <w:u w:val="single"/>
          </w:rPr>
          <w:t>[3]</w:t>
        </w:r>
      </w:hyperlink>
      <w:r>
        <w:t xml:space="preserve">, </w:t>
      </w:r>
      <w:hyperlink r:id="rId13">
        <w:r>
          <w:rPr>
            <w:color w:val="0000EE"/>
            <w:u w:val="single"/>
          </w:rPr>
          <w:t>[5]</w:t>
        </w:r>
      </w:hyperlink>
      <w:r>
        <w:t xml:space="preserve">- Paragraph 5: </w:t>
      </w:r>
      <w:hyperlink r:id="rId12">
        <w:r>
          <w:rPr>
            <w:color w:val="0000EE"/>
            <w:u w:val="single"/>
          </w:rPr>
          <w:t>[4]</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https://outragemag.com/indonesian-prexy-officially-classifies-spread-of-lgbtqia-culture-as-nonmilitary-threat/</w:t>
        </w:r>
      </w:hyperlink>
      <w:r>
        <w:t xml:space="preserve"> - Please view link - unable to able to access data</w:t>
      </w:r>
      <w:r/>
    </w:p>
    <w:p>
      <w:pPr>
        <w:pStyle w:val="ListNumber"/>
        <w:spacing w:line="240" w:lineRule="auto"/>
        <w:ind w:left="720"/>
      </w:pPr>
      <w:r/>
      <w:hyperlink r:id="rId10">
        <w:r>
          <w:rPr>
            <w:color w:val="0000EE"/>
            <w:u w:val="single"/>
          </w:rPr>
          <w:t>https://www.idntimes.com/news/indonesia/perpres-111-lgbt-masuk-daftar-ancaman-nonmiliter-indonesia-00-sbfjr-f7s1jg</w:t>
        </w:r>
      </w:hyperlink>
      <w:r>
        <w:t xml:space="preserve"> - Indonesia's President Prabowo Subianto has officially classified the spread of LGBTQ culture as a nonmilitary threat under the social, cultural, and ideological dimensions of the country's national defense. This classification is outlined in Presidential Regulation No. 111/2025 on National Defense Policy 2025–2029, signed on October 24, 2025. The regulation identifies three types of threats to Indonesia: military, nonmilitary, and hybrid. The 'spread of LGBTQ culture' is categorized under nonmilitary threats alongside issues such as radicalism, separatism, terrorism, online gambling, illegal online loans, and drug abuse. This policy aims to address cultural shifts that could impact national resilience and traditional values. (</w:t>
      </w:r>
      <w:hyperlink r:id="rId16">
        <w:r>
          <w:rPr>
            <w:color w:val="0000EE"/>
            <w:u w:val="single"/>
          </w:rPr>
          <w:t>idntimes.com</w:t>
        </w:r>
      </w:hyperlink>
      <w:r>
        <w:t>)</w:t>
      </w:r>
      <w:r/>
    </w:p>
    <w:p>
      <w:pPr>
        <w:pStyle w:val="ListNumber"/>
        <w:spacing w:line="240" w:lineRule="auto"/>
        <w:ind w:left="720"/>
      </w:pPr>
      <w:r/>
      <w:hyperlink r:id="rId11">
        <w:r>
          <w:rPr>
            <w:color w:val="0000EE"/>
            <w:u w:val="single"/>
          </w:rPr>
          <w:t>https://www.inews.id/inews-tv/buletin/perpres-nomor-111-tahun-2025-presiden-prabowo-masukkan-budaya-lgbtq-sebagai-ancaman-nonmiliter/1</w:t>
        </w:r>
      </w:hyperlink>
      <w:r>
        <w:t xml:space="preserve"> - President Prabowo Subianto has signed Presidential Regulation No. 111/2025, officially categorising the spread of LGBTQ culture as a nonmilitary threat in Indonesia. This regulation, signed on October 24, 2025, defines nonmilitary threats as activities without weapons that endanger the sovereignty, territorial integrity, and safety of the nation. Other threats in this category include the spread of prohibited ideologies, erosion of nationalism, atheism, separatism, terrorism, radicalism, information warfare, economic crises, online gambling, illegal online loans, and human trafficking. Global issues like climate change, disease outbreaks, and cyberattacks are also included. Additionally, the Indonesian Ulema Council (MUI) is advocating for the inclusion of the LGBTQ criminalisation bill in the National Legislative Program (Prolegnas) of the People's Representative Council (DPR). (</w:t>
      </w:r>
      <w:hyperlink r:id="rId17">
        <w:r>
          <w:rPr>
            <w:color w:val="0000EE"/>
            <w:u w:val="single"/>
          </w:rPr>
          <w:t>inews.id</w:t>
        </w:r>
      </w:hyperlink>
      <w:r>
        <w:t>)</w:t>
      </w:r>
      <w:r/>
    </w:p>
    <w:p>
      <w:pPr>
        <w:pStyle w:val="ListNumber"/>
        <w:spacing w:line="240" w:lineRule="auto"/>
        <w:ind w:left="720"/>
      </w:pPr>
      <w:r/>
      <w:hyperlink r:id="rId12">
        <w:r>
          <w:rPr>
            <w:color w:val="0000EE"/>
            <w:u w:val="single"/>
          </w:rPr>
          <w:t>https://www.rctiplus.com/news/detail/terkini/5421102/perpres-nomor-111-tahun-2025--presiden-prabowo-masukkan-budaya-lgbtq-sebagai-ancaman-nonmiliter</w:t>
        </w:r>
      </w:hyperlink>
      <w:r>
        <w:t xml:space="preserve"> - President Prabowo Subianto has signed Presidential Regulation No. 111/2025, officially categorising the spread of LGBTQ culture as a nonmilitary threat in Indonesia. This regulation, signed on October 24, 2025, defines nonmilitary threats as activities without weapons that endanger the sovereignty, territorial integrity, and safety of the nation. Other threats in this category include the spread of prohibited ideologies, erosion of nationalism, atheism, separatism, terrorism, radicalism, information warfare, economic crises, online gambling, illegal online loans, and human trafficking. Global issues like climate change, disease outbreaks, and cyberattacks are also included. Additionally, the Indonesian Ulema Council (MUI) is advocating for the inclusion of the LGBTQ criminalisation bill in the National Legislative Program (Prolegnas) of the People's Representative Council (DPR). (</w:t>
      </w:r>
      <w:hyperlink r:id="rId18">
        <w:r>
          <w:rPr>
            <w:color w:val="0000EE"/>
            <w:u w:val="single"/>
          </w:rPr>
          <w:t>rctiplus.com</w:t>
        </w:r>
      </w:hyperlink>
      <w:r>
        <w:t>)</w:t>
      </w:r>
      <w:r/>
    </w:p>
    <w:p>
      <w:pPr>
        <w:pStyle w:val="ListNumber"/>
        <w:spacing w:line="240" w:lineRule="auto"/>
        <w:ind w:left="720"/>
      </w:pPr>
      <w:r/>
      <w:hyperlink r:id="rId13">
        <w:r>
          <w:rPr>
            <w:color w:val="0000EE"/>
            <w:u w:val="single"/>
          </w:rPr>
          <w:t>https://reportaseindonesia.com/2026/07/05/presiden-prabowo-tetapkan-perpres-111-2025-penyebaran-budaya-lgbtq-masuk-kategori-ancaman-nonmiliter/</w:t>
        </w:r>
      </w:hyperlink>
      <w:r>
        <w:t xml:space="preserve"> - President Prabowo Subianto has signed Presidential Regulation No. 111/2025, officially categorising the spread of LGBTQ culture as a nonmilitary threat in Indonesia. This regulation, signed on October 24, 2025, defines nonmilitary threats as activities without weapons that endanger the sovereignty, territorial integrity, and safety of the nation. Other threats in this category include the spread of prohibited ideologies, erosion of nationalism, atheism, separatism, terrorism, radicalism, information warfare, economic crises, online gambling, illegal online loans, and human trafficking. Global issues like climate change, disease outbreaks, and cyberattacks are also included. Additionally, the Indonesian Ulema Council (MUI) is advocating for the inclusion of the LGBTQ criminalisation bill in the National Legislative Program (Prolegnas) of the People's Representative Council (DPR). (</w:t>
      </w:r>
      <w:hyperlink r:id="rId19">
        <w:r>
          <w:rPr>
            <w:color w:val="0000EE"/>
            <w:u w:val="single"/>
          </w:rPr>
          <w:t>reportaseindonesia.com</w:t>
        </w:r>
      </w:hyperlink>
      <w:r>
        <w:t>)</w:t>
      </w:r>
      <w:r/>
    </w:p>
    <w:p>
      <w:pPr>
        <w:pStyle w:val="ListNumber"/>
        <w:spacing w:line="240" w:lineRule="auto"/>
        <w:ind w:left="720"/>
      </w:pPr>
      <w:r/>
      <w:hyperlink r:id="rId14">
        <w:r>
          <w:rPr>
            <w:color w:val="0000EE"/>
            <w:u w:val="single"/>
          </w:rPr>
          <w:t>https://en.wikipedia.org/wiki/2023_Indonesian_Penal_Code</w:t>
        </w:r>
      </w:hyperlink>
      <w:r>
        <w:t xml:space="preserve"> - The 2023 Indonesian Penal Code, also known as the New Penal Code (Indonesian: KUHP Baru), is the new penal code in Indonesia, replacing the Dutch-era code. This law is the most comprehensive and time-consuming legislation ever crafted in Indonesia, having taken over 50 years to develop since its initial formulation. The code was enacted by the House of Representatives and commenced on January 2, 2023. It was signed by President Joko Widodo and amends 21 acts, repealing 8 acts, including the Wetboek van Strafrecht. The code is scheduled to take effect in 2026. (</w:t>
      </w:r>
      <w:hyperlink r:id="rId20">
        <w:r>
          <w:rPr>
            <w:color w:val="0000EE"/>
            <w:u w:val="single"/>
          </w:rPr>
          <w:t>en.wikipedia.org</w:t>
        </w:r>
      </w:hyperlink>
      <w:r>
        <w:t>)</w:t>
      </w:r>
      <w:r/>
    </w:p>
    <w:p>
      <w:pPr>
        <w:pStyle w:val="ListNumber"/>
        <w:spacing w:line="240" w:lineRule="auto"/>
        <w:ind w:left="720"/>
      </w:pPr>
      <w:r/>
      <w:hyperlink r:id="rId15">
        <w:r>
          <w:rPr>
            <w:color w:val="0000EE"/>
            <w:u w:val="single"/>
          </w:rPr>
          <w:t>https://depok.inews.id/read/700884/presiden-prabowo-masukkan-budaya-lgbtq-sebagai-ancaman-nonmiliter-masuk-regulasi-perpres-1112025</w:t>
        </w:r>
      </w:hyperlink>
      <w:r>
        <w:t xml:space="preserve"> - President Prabowo Subianto has signed Presidential Regulation No. 111/2025, officially categorising the spread of LGBTQ culture as a nonmilitary threat in Indonesia. This regulation, signed on October 24, 2025, defines nonmilitary threats as activities without weapons that endanger the sovereignty, territorial integrity, and safety of the nation. Other threats in this category include the spread of prohibited ideologies, erosion of nationalism, atheism, separatism, terrorism, radicalism, information warfare, economic crises, online gambling, illegal online loans, and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outragemag.com/indonesian-prexy-officially-classifies-spread-of-lgbtqia-culture-as-nonmilitary-threat/" TargetMode="External"/><Relationship Id="rId10" Type="http://schemas.openxmlformats.org/officeDocument/2006/relationships/hyperlink" Target="https://www.idntimes.com/news/indonesia/perpres-111-lgbt-masuk-daftar-ancaman-nonmiliter-indonesia-00-sbfjr-f7s1jg" TargetMode="External"/><Relationship Id="rId11" Type="http://schemas.openxmlformats.org/officeDocument/2006/relationships/hyperlink" Target="https://www.inews.id/inews-tv/buletin/perpres-nomor-111-tahun-2025-presiden-prabowo-masukkan-budaya-lgbtq-sebagai-ancaman-nonmiliter/1" TargetMode="External"/><Relationship Id="rId12" Type="http://schemas.openxmlformats.org/officeDocument/2006/relationships/hyperlink" Target="https://www.rctiplus.com/news/detail/terkini/5421102/perpres-nomor-111-tahun-2025--presiden-prabowo-masukkan-budaya-lgbtq-sebagai-ancaman-nonmiliter" TargetMode="External"/><Relationship Id="rId13" Type="http://schemas.openxmlformats.org/officeDocument/2006/relationships/hyperlink" Target="https://reportaseindonesia.com/2026/07/05/presiden-prabowo-tetapkan-perpres-111-2025-penyebaran-budaya-lgbtq-masuk-kategori-ancaman-nonmiliter/" TargetMode="External"/><Relationship Id="rId14" Type="http://schemas.openxmlformats.org/officeDocument/2006/relationships/hyperlink" Target="https://en.wikipedia.org/wiki/2023_Indonesian_Penal_Code" TargetMode="External"/><Relationship Id="rId15" Type="http://schemas.openxmlformats.org/officeDocument/2006/relationships/hyperlink" Target="https://depok.inews.id/read/700884/presiden-prabowo-masukkan-budaya-lgbtq-sebagai-ancaman-nonmiliter-masuk-regulasi-perpres-1112025" TargetMode="External"/><Relationship Id="rId16" Type="http://schemas.openxmlformats.org/officeDocument/2006/relationships/hyperlink" Target="https://www.idntimes.com/news/indonesia/perpres-111-lgbt-masuk-daftar-ancaman-nonmiliter-indonesia-00-sbfjr-f7s1jg?utm_source=openai" TargetMode="External"/><Relationship Id="rId17" Type="http://schemas.openxmlformats.org/officeDocument/2006/relationships/hyperlink" Target="https://www.inews.id/inews-tv/buletin/perpres-nomor-111-tahun-2025-presiden-prabowo-masukkan-budaya-lgbtq-sebagai-ancaman-nonmiliter/1?utm_source=openai" TargetMode="External"/><Relationship Id="rId18" Type="http://schemas.openxmlformats.org/officeDocument/2006/relationships/hyperlink" Target="https://www.rctiplus.com/news/detail/terkini/5421102/perpres-nomor-111-tahun-2025--perpres-nomor-111-tahun-2025--presiden-prabowo-masukkan-budaya-lgbtq-sebagai-ancaman-nonmiliter?utm_source=openai" TargetMode="External"/><Relationship Id="rId19" Type="http://schemas.openxmlformats.org/officeDocument/2006/relationships/hyperlink" Target="https://reportaseindonesia.com/2026/07/05/presiden-prabowo-tetapkan-perpres-111-2025-penyebaran-budaya-lgbtq-masuk-kategori-ancaman-nonmiliter/?utm_source=openai" TargetMode="External"/><Relationship Id="rId20" Type="http://schemas.openxmlformats.org/officeDocument/2006/relationships/hyperlink" Target="https://en.wikipedia.org/wiki/2023_Indonesian_Penal_Cod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