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Gay Men Are Calling Out Ageism and Staying Visible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Spotting ageism in gay scenes is common, but many are finding clever, calm ways to shrug it off, push back and reclaim spaces , from bars to apps , so older queer men feel seen, respected and confident. Here's what readers, advocates and research suggest works.</w:t>
      </w:r>
      <w:r/>
    </w:p>
    <w:p>
      <w:r/>
      <w:r>
        <w:t>Essential Takeaways</w:t>
      </w:r>
      <w:r/>
      <w:r/>
    </w:p>
    <w:p>
      <w:pPr>
        <w:pStyle w:val="ListBullet"/>
        <w:spacing w:line="240" w:lineRule="auto"/>
        <w:ind w:left="720"/>
      </w:pPr>
      <w:r/>
      <w:r>
        <w:rPr>
          <w:b/>
        </w:rPr>
        <w:t>Most shrug it off:</w:t>
      </w:r>
      <w:r>
        <w:t xml:space="preserve"> Many older gay men say they let rude comments slide and focus on enjoying the night instead. </w:t>
      </w:r>
      <w:r/>
    </w:p>
    <w:p>
      <w:pPr>
        <w:pStyle w:val="ListBullet"/>
        <w:spacing w:line="240" w:lineRule="auto"/>
        <w:ind w:left="720"/>
      </w:pPr>
      <w:r/>
      <w:r>
        <w:rPr>
          <w:b/>
        </w:rPr>
        <w:t>Visibility matters:</w:t>
      </w:r>
      <w:r>
        <w:t xml:space="preserve"> Being present in community spaces , bars, events, drag shows , helps combat invisibility and builds intergenerational ties. </w:t>
      </w:r>
      <w:r/>
    </w:p>
    <w:p>
      <w:pPr>
        <w:pStyle w:val="ListBullet"/>
        <w:spacing w:line="240" w:lineRule="auto"/>
        <w:ind w:left="720"/>
      </w:pPr>
      <w:r/>
      <w:r>
        <w:rPr>
          <w:b/>
        </w:rPr>
        <w:t>Apps amplify bias:</w:t>
      </w:r>
      <w:r>
        <w:t xml:space="preserve"> Dating and hookup apps are frequent sites of ageist slights; blocking and curating profiles are common responses. </w:t>
      </w:r>
      <w:r/>
    </w:p>
    <w:p>
      <w:pPr>
        <w:pStyle w:val="ListBullet"/>
        <w:spacing w:line="240" w:lineRule="auto"/>
        <w:ind w:left="720"/>
      </w:pPr>
      <w:r/>
      <w:r>
        <w:rPr>
          <w:b/>
        </w:rPr>
        <w:t>Generational mix helps:</w:t>
      </w:r>
      <w:r>
        <w:t xml:space="preserve"> Younger allies and performers often affirm elders, reminding them their presence is valued. </w:t>
      </w:r>
      <w:r/>
    </w:p>
    <w:p>
      <w:pPr>
        <w:pStyle w:val="ListBullet"/>
        <w:spacing w:line="240" w:lineRule="auto"/>
        <w:ind w:left="720"/>
      </w:pPr>
      <w:r/>
      <w:r>
        <w:rPr>
          <w:b/>
        </w:rPr>
        <w:t>Practical tactics:</w:t>
      </w:r>
      <w:r>
        <w:t xml:space="preserve"> Responding with humour, setting boundaries, or finding age-friendly venues keeps social life rich and safe.</w:t>
      </w:r>
      <w:r/>
      <w:r/>
    </w:p>
    <w:p>
      <w:pPr>
        <w:pStyle w:val="Heading2"/>
      </w:pPr>
      <w:r>
        <w:t>Why older gay men are tired of being “looked through” not seen</w:t>
      </w:r>
      <w:r/>
    </w:p>
    <w:p>
      <w:r/>
      <w:r>
        <w:t>There’s a sharp sting when someone glides past you as if you’re invisible, and many queer elders described that exact feeling in bars and on apps. They talk about standing at the bar while younger people get served first or receiving nasty messages online, and it’s easy to see why it wears thin. According to LGBTQ+ advocacy groups and elder-dignity work, this sort of erasure chips away at mental health and community belonging. Practical approach: pick rooms where staff and regulars value everyone, and try cultivating a handful of younger friends who respect and include you.</w:t>
      </w:r>
      <w:r/>
    </w:p>
    <w:p>
      <w:pPr>
        <w:pStyle w:val="Heading2"/>
      </w:pPr>
      <w:r>
        <w:t>Letting slights roll off your seasoned back , the emotional toolkit</w:t>
      </w:r>
      <w:r/>
    </w:p>
    <w:p>
      <w:r/>
      <w:r>
        <w:t>A popular tactic is simple: don’t engage. Readers shared that brushing insults off, buying another drink and moving on preserves the evening and protects emotional energy. That kind of self-possession can read as magnetic, and some found they actually attract more positive attention by radiating calm confidence. For those who want to respond, a concise, witty retort or a polite boundary , then walking away , tends to work better than a prolonged argument.</w:t>
      </w:r>
      <w:r/>
    </w:p>
    <w:p>
      <w:pPr>
        <w:pStyle w:val="Heading2"/>
      </w:pPr>
      <w:r>
        <w:t>Apps: where ageism gets blunt and how to fight back</w:t>
      </w:r>
      <w:r/>
    </w:p>
    <w:p>
      <w:r/>
      <w:r>
        <w:t>Dating platforms are where age preferences become blunt policy, and many gay men report being dismissed or insulted there. The practical moves are straightforward: curate who can message you, use filters, and block abusive users. Some also recommend shifting to platforms or groups aimed at older men, or lean into profiles that showcase confidence and interests , because often the issue isn’t age alone but tone and intent. Industry research into LGBTQ+ ageing highlights that technology both isolates and connects, so it pays to be strategic.</w:t>
      </w:r>
      <w:r/>
    </w:p>
    <w:p>
      <w:pPr>
        <w:pStyle w:val="Heading2"/>
      </w:pPr>
      <w:r>
        <w:t>Intergenerational friendships are the secret sauce</w:t>
      </w:r>
      <w:r/>
    </w:p>
    <w:p>
      <w:r/>
      <w:r>
        <w:t>A handful of anecdotes show the power of cross‑generational friendship: younger pals who call older men “gay grandchildren,” performers who publicly thank elders for showing up, and spontaneous conversations in bars that end in plans. These moments prove you don’t have to retreat from younger scenes to feel respected. Community programmes and local clubs featured in elder-dignity initiatives often encourage mentoring and shared events, which calm tensions and create mutual appreciation.</w:t>
      </w:r>
      <w:r/>
    </w:p>
    <w:p>
      <w:pPr>
        <w:pStyle w:val="Heading2"/>
      </w:pPr>
      <w:r>
        <w:t>Turning up, dressing for you, and owning your night</w:t>
      </w:r>
      <w:r/>
    </w:p>
    <w:p>
      <w:r/>
      <w:r>
        <w:t>Many contributors found freedom in deciding their evenings weren’t about being chased or validated by younger men but about enjoying music, drinks, drag and company. That mindset shift , dressing to feel good rather than to please , changes how others perceive you and how you feel. For those who’ve felt excluded by nightlife, seek out nights that cater to mixed ages or explicitly older crowds; if none exist, consider starting one. Visibility begets visibility.</w:t>
      </w:r>
      <w:r/>
    </w:p>
    <w:p>
      <w:r/>
      <w:r>
        <w:t>Closing line</w:t>
      </w:r>
      <w:r/>
    </w:p>
    <w:p>
      <w:r/>
      <w:r>
        <w:t>It’s a small change in attitude and habits, but showing up and setting your terms can make every night feel like it belongs to you.</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5">
        <w:r>
          <w:rPr>
            <w:color w:val="0000EE"/>
            <w:u w:val="single"/>
          </w:rPr>
          <w:t>[7]</w:t>
        </w:r>
      </w:hyperlink>
      <w:r>
        <w:t xml:space="preserve">- Paragraph 4: </w:t>
      </w:r>
      <w:hyperlink r:id="rId10">
        <w:r>
          <w:rPr>
            <w:color w:val="0000EE"/>
            <w:u w:val="single"/>
          </w:rPr>
          <w:t>[2]</w:t>
        </w:r>
      </w:hyperlink>
      <w:r>
        <w:t xml:space="preserve">, </w:t>
      </w:r>
      <w:hyperlink r:id="rId12">
        <w:r>
          <w:rPr>
            <w:color w:val="0000EE"/>
            <w:u w:val="single"/>
          </w:rPr>
          <w:t>[3]</w:t>
        </w:r>
      </w:hyperlink>
      <w:r>
        <w:t xml:space="preserve">- Paragraph 5: </w:t>
      </w:r>
      <w:hyperlink r:id="rId10">
        <w:r>
          <w:rPr>
            <w:color w:val="0000EE"/>
            <w:u w:val="single"/>
          </w:rPr>
          <w:t>[2]</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https://www.queerty.com/hitting-the-bar-adopting-gay-grandchildren-scaring-twinks-back-into-their-dingy-hotel-room-gays-dish-on-how-they-deal-with-ageism-20260712/</w:t>
        </w:r>
      </w:hyperlink>
      <w:r>
        <w:t xml:space="preserve"> - Please view link - unable to able to access data</w:t>
      </w:r>
      <w:r/>
    </w:p>
    <w:p>
      <w:pPr>
        <w:pStyle w:val="ListNumber"/>
        <w:spacing w:line="240" w:lineRule="auto"/>
        <w:ind w:left="720"/>
      </w:pPr>
      <w:r/>
      <w:hyperlink r:id="rId10">
        <w:r>
          <w:rPr>
            <w:color w:val="0000EE"/>
            <w:u w:val="single"/>
          </w:rPr>
          <w:t>https://www.aarp.org/pri/topics/social-leisure/relationships/lgbtq-dignity-series-2024/</w:t>
        </w:r>
      </w:hyperlink>
      <w:r>
        <w:t xml:space="preserve"> - AARP's 'Dignity 2024' series explores the experiences of LGBTQ+ adults aged 45 and over, focusing on health care access, caregiving, isolation, and relationships. The study reveals that nearly 80% of older LGBTQ+ adults are concerned about having sufficient support as they age, highlighting the unique challenges faced by this demographic. The research underscores the need for increased attention to the specific needs of older LGBTQ+ individuals to ensure they receive adequate support and care in their later years.</w:t>
      </w:r>
      <w:r/>
    </w:p>
    <w:p>
      <w:pPr>
        <w:pStyle w:val="ListNumber"/>
        <w:spacing w:line="240" w:lineRule="auto"/>
        <w:ind w:left="720"/>
      </w:pPr>
      <w:r/>
      <w:hyperlink r:id="rId12">
        <w:r>
          <w:rPr>
            <w:color w:val="0000EE"/>
            <w:u w:val="single"/>
          </w:rPr>
          <w:t>https://academic.oup.com/innovateage/article/8/Supplement_1/654/7937577</w:t>
        </w:r>
      </w:hyperlink>
      <w:r>
        <w:t xml:space="preserve"> - This article discusses the inadequacies of the age-friendly movement in addressing the needs of older LGBTQ+ adults of colour. It critiques existing frameworks for failing to consider the unique challenges faced by this group, advocating for more inclusive and socially just approaches to community planning. The authors call for a reimagining of age-friendly initiatives to ensure they are equitable and responsive to the diverse experiences of older LGBTQ+ adults of colour.</w:t>
      </w:r>
      <w:r/>
    </w:p>
    <w:p>
      <w:pPr>
        <w:pStyle w:val="ListNumber"/>
        <w:spacing w:line="240" w:lineRule="auto"/>
        <w:ind w:left="720"/>
      </w:pPr>
      <w:r/>
      <w:hyperlink r:id="rId11">
        <w:r>
          <w:rPr>
            <w:color w:val="0000EE"/>
            <w:u w:val="single"/>
          </w:rPr>
          <w:t>https://pubmed.ncbi.nlm.nih.gov/38767047/</w:t>
        </w:r>
      </w:hyperlink>
      <w:r>
        <w:t xml:space="preserve"> - This study examines the representation of LGBTQ+ older adults in New York City's age-friendly initiative. Through critical discourse analysis of over 800 pages of public records, the research identifies how LGBTQ+ older adults are depicted and the authorities responsible for their recognition. The findings suggest that while there is some acknowledgment, more comprehensive and inclusive strategies are needed to fully integrate LGBTQ+ older adults into age-friendly policies and practices.</w:t>
      </w:r>
      <w:r/>
    </w:p>
    <w:p>
      <w:pPr>
        <w:pStyle w:val="ListNumber"/>
        <w:spacing w:line="240" w:lineRule="auto"/>
        <w:ind w:left="720"/>
      </w:pPr>
      <w:r/>
      <w:hyperlink r:id="rId13">
        <w:r>
          <w:rPr>
            <w:color w:val="0000EE"/>
            <w:u w:val="single"/>
          </w:rPr>
          <w:t>https://pubmed.ncbi.nlm.nih.gov/38383992/</w:t>
        </w:r>
      </w:hyperlink>
      <w:r>
        <w:t xml:space="preserve"> - This research employs critical discourse analysis to investigate how LGBTQ+ older adults are represented within New York City's age-friendly initiative. By reviewing extensive public records, the study highlights the need for more inclusive and equitable approaches to community planning that consider the unique experiences of LGBTQ+ older adults. The findings advocate for a reimagining of age-friendly initiatives to ensure they are socially just and responsive to the diverse needs of this population.</w:t>
      </w:r>
      <w:r/>
    </w:p>
    <w:p>
      <w:pPr>
        <w:pStyle w:val="ListNumber"/>
        <w:spacing w:line="240" w:lineRule="auto"/>
        <w:ind w:left="720"/>
      </w:pPr>
      <w:r/>
      <w:hyperlink r:id="rId14">
        <w:r>
          <w:rPr>
            <w:color w:val="0000EE"/>
            <w:u w:val="single"/>
          </w:rPr>
          <w:t>https://pubmed.ncbi.nlm.nih.gov/39247404/</w:t>
        </w:r>
      </w:hyperlink>
      <w:r>
        <w:t xml:space="preserve"> - This article explores the healthcare experiences of LGBTQ+ individuals, focusing on the affirmation of non-binary people. The study highlights that non-binary individuals often remain unaffirmed in healthcare settings, leading to disparities in care. The authors call for increased awareness and training among healthcare providers to ensure that non-binary patients receive respectful and appropriate care, emphasizing the importance of inclusivity in healthcare practices.</w:t>
      </w:r>
      <w:r/>
    </w:p>
    <w:p>
      <w:pPr>
        <w:pStyle w:val="ListNumber"/>
        <w:spacing w:line="240" w:lineRule="auto"/>
        <w:ind w:left="720"/>
      </w:pPr>
      <w:r/>
      <w:hyperlink r:id="rId15">
        <w:r>
          <w:rPr>
            <w:color w:val="0000EE"/>
            <w:u w:val="single"/>
          </w:rPr>
          <w:t>https://pubmed.ncbi.nlm.nih.gov/37934511/</w:t>
        </w:r>
      </w:hyperlink>
      <w:r>
        <w:t xml:space="preserve"> - This exploratory study investigates the experiences of 2SLGBTQ+ adults with intellectual and/or developmental disabilities navigating mainstream queer social spaces. Through interviews with 31 participants, the research sheds light on the unique challenges faced by this group, including issues of inclusion and accessibility. The findings underscore the need for more inclusive and supportive environments within queer social spaces to accommodate the diverse needs of 2SLGBTQ+ individuals with disabilities.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hitting-the-bar-adopting-gay-grandchildren-scaring-twinks-back-into-their-dingy-hotel-room-gays-dish-on-how-they-deal-with-ageism-20260712/" TargetMode="External"/><Relationship Id="rId10" Type="http://schemas.openxmlformats.org/officeDocument/2006/relationships/hyperlink" Target="https://www.aarp.org/pri/topics/social-leisure/relationships/lgbtq-dignity-series-2024/" TargetMode="External"/><Relationship Id="rId11" Type="http://schemas.openxmlformats.org/officeDocument/2006/relationships/hyperlink" Target="https://pubmed.ncbi.nlm.nih.gov/38767047/" TargetMode="External"/><Relationship Id="rId12" Type="http://schemas.openxmlformats.org/officeDocument/2006/relationships/hyperlink" Target="https://academic.oup.com/innovateage/article/8/Supplement_1/654/7937577" TargetMode="External"/><Relationship Id="rId13" Type="http://schemas.openxmlformats.org/officeDocument/2006/relationships/hyperlink" Target="https://pubmed.ncbi.nlm.nih.gov/38383992/" TargetMode="External"/><Relationship Id="rId14" Type="http://schemas.openxmlformats.org/officeDocument/2006/relationships/hyperlink" Target="https://pubmed.ncbi.nlm.nih.gov/39247404/" TargetMode="External"/><Relationship Id="rId15" Type="http://schemas.openxmlformats.org/officeDocument/2006/relationships/hyperlink" Target="https://pubmed.ncbi.nlm.nih.gov/379345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