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Understanding "Budaya LGBTQ" and Why It Matters in Indonesia</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the rainbow: policymakers are framing LGBTQ not just as identities but as a culture, and that shift matters for education, religion and national policy across Indonesia. Here’s a clear, practical look at what “budaya LGBTQ” means, why it’s now in presidential rules, and what parents, teachers and communities should know.</w:t>
      </w:r>
      <w:r/>
    </w:p>
    <w:p>
      <w:r/>
      <w:r>
        <w:t>Essential Takeaways</w:t>
      </w:r>
      <w:r/>
      <w:r/>
    </w:p>
    <w:p>
      <w:pPr>
        <w:pStyle w:val="ListBullet"/>
        <w:spacing w:line="240" w:lineRule="auto"/>
        <w:ind w:left="720"/>
      </w:pPr>
      <w:r/>
      <w:r>
        <w:rPr>
          <w:b/>
        </w:rPr>
        <w:t>Definition clarified:</w:t>
      </w:r>
      <w:r>
        <w:t xml:space="preserve"> Budaya LGBTQ refers to symbols, narratives, practices and public representation tied to LGBTQ identities, not merely individual orientation.</w:t>
      </w:r>
      <w:r/>
    </w:p>
    <w:p>
      <w:pPr>
        <w:pStyle w:val="ListBullet"/>
        <w:spacing w:line="240" w:lineRule="auto"/>
        <w:ind w:left="720"/>
      </w:pPr>
      <w:r/>
      <w:r>
        <w:rPr>
          <w:b/>
        </w:rPr>
        <w:t>Policy pivot:</w:t>
      </w:r>
      <w:r>
        <w:t xml:space="preserve"> A recent presidential regulation lists "penyebaran budaya LGBTQ" as a non‑military security concern, prompting faith and educational institutions to respond.</w:t>
      </w:r>
      <w:r/>
    </w:p>
    <w:p>
      <w:pPr>
        <w:pStyle w:val="ListBullet"/>
        <w:spacing w:line="240" w:lineRule="auto"/>
        <w:ind w:left="720"/>
      </w:pPr>
      <w:r/>
      <w:r>
        <w:rPr>
          <w:b/>
        </w:rPr>
        <w:t>Everyday signs:</w:t>
      </w:r>
      <w:r>
        <w:t xml:space="preserve"> Pride flags, corporate rainbow logos in June, films and pronoun campaigns are all parts of a wider cultural ecosystem.</w:t>
      </w:r>
      <w:r/>
    </w:p>
    <w:p>
      <w:pPr>
        <w:pStyle w:val="ListBullet"/>
        <w:spacing w:line="240" w:lineRule="auto"/>
        <w:ind w:left="720"/>
      </w:pPr>
      <w:r/>
      <w:r>
        <w:rPr>
          <w:b/>
        </w:rPr>
        <w:t>Practical effect:</w:t>
      </w:r>
      <w:r>
        <w:t xml:space="preserve"> Education and religious messaging will be used to shape responses; this affects madrasahs, pesantrens, universities and community outreach.</w:t>
      </w:r>
      <w:r/>
    </w:p>
    <w:p>
      <w:pPr>
        <w:pStyle w:val="ListBullet"/>
        <w:spacing w:line="240" w:lineRule="auto"/>
        <w:ind w:left="720"/>
      </w:pPr>
      <w:r/>
      <w:r>
        <w:rPr>
          <w:b/>
        </w:rPr>
        <w:t>Choose with care:</w:t>
      </w:r>
      <w:r>
        <w:t xml:space="preserve"> For parents and educators, distinguish between protecting children and stigmatising individuals; focus on age-appropriate guidance and pastoral support.</w:t>
      </w:r>
      <w:r/>
      <w:r/>
    </w:p>
    <w:p>
      <w:pPr>
        <w:pStyle w:val="Heading2"/>
      </w:pPr>
      <w:r>
        <w:t>Why the word "budaya" changes the conversation</w:t>
      </w:r>
      <w:r/>
    </w:p>
    <w:p>
      <w:r/>
      <w:r>
        <w:t>The single word "culture" widens the frame; it turns personal identity into public habit, ritual and symbol, and that shift feels tangible. According to commentary in Republika, authorities aren’t just pointing at individuals but at the routines and symbols that make an identity visible, such as flags, media portrayals and public celebrations. That’s a meaningful semantic move, because governments regulate cultures differently from private behaviours.</w:t>
      </w:r>
      <w:r/>
    </w:p>
    <w:p>
      <w:r/>
      <w:r>
        <w:t>For readers, the practical upshot is simple: debates will move beyond privacy and rights into schools, sermons and public campaigns. If you work in education or faith leadership, expect guidance and possibly curricula that address these cultural signals directly.</w:t>
      </w:r>
      <w:r/>
    </w:p>
    <w:p>
      <w:pPr>
        <w:pStyle w:val="Heading2"/>
      </w:pPr>
      <w:r>
        <w:t>How symbols and media build a "culture"</w:t>
      </w:r>
      <w:r/>
    </w:p>
    <w:p>
      <w:r/>
      <w:r>
        <w:t>Look around and you’ll spot the building blocks: the rainbow flag, Pride parades, inclusive storylines in films and TV, and even corporate logos that change colour in June. Those elements form a recognisable cultural language that communicates belonging and normalisation. Health and advocacy groups have long documented how representation affects wellbeing and public attitudes, while allies argue visibility reduces stigma.</w:t>
      </w:r>
      <w:r/>
    </w:p>
    <w:p>
      <w:r/>
      <w:r>
        <w:t>This cultural ecosystem is transnational , a film or hashtag travels fast , which is why policymakers describe its "spread". For anyone curating children’s media or community events, the sensible approach is to be deliberate about exposure and to explain context in age‑appropriate ways.</w:t>
      </w:r>
      <w:r/>
    </w:p>
    <w:p>
      <w:pPr>
        <w:pStyle w:val="Heading2"/>
      </w:pPr>
      <w:r>
        <w:t>What the new regulation means for schools and religious institutions</w:t>
      </w:r>
      <w:r/>
    </w:p>
    <w:p>
      <w:r/>
      <w:r>
        <w:t>The government has signalled institutional responses: prevention and education will be integrated into religious teaching, khutbah, counselling and higher education. That follows a presidential directive that frames cultural spread as a non‑military threat to national cohesion. The move is part policy, part worldview: defenders see it as protecting shared values, critics warn it risks conflating peaceful identities with security risks.</w:t>
      </w:r>
      <w:r/>
    </w:p>
    <w:p>
      <w:r/>
      <w:r>
        <w:t>If you’re a teacher or imam, practical advice is to seek clear, evidence-based materials and training. Balance is key: safeguarding children’s development while avoiding rhetoric that isolates or endangers individuals in your care.</w:t>
      </w:r>
      <w:r/>
    </w:p>
    <w:p>
      <w:pPr>
        <w:pStyle w:val="Heading2"/>
      </w:pPr>
      <w:r>
        <w:t>How experts and advocates see "culture" versus individual rights</w:t>
      </w:r>
      <w:r/>
    </w:p>
    <w:p>
      <w:r/>
      <w:r>
        <w:t>Human rights organisations and public health bodies make a clear distinction between culture, legal status and individual wellbeing. LGBTQ health resources stress that identity is not a choice and that stigma harms mental and physical health. Allies focus on inclusive practices that protect rights while engaging communities respectfully.</w:t>
      </w:r>
      <w:r/>
    </w:p>
    <w:p>
      <w:r/>
      <w:r>
        <w:t>For community leaders, this means listening to diverse sources: legal definitions, health guidance and lived experience. Constructive policy conversations are possible when they start from accurate terms , for instance, distinguishing orientation, activism and cultural representation.</w:t>
      </w:r>
      <w:r/>
    </w:p>
    <w:p>
      <w:pPr>
        <w:pStyle w:val="Heading2"/>
      </w:pPr>
      <w:r>
        <w:t>Practical tips for parents, teachers and local leaders</w:t>
      </w:r>
      <w:r/>
    </w:p>
    <w:p>
      <w:r/>
      <w:r>
        <w:t>Be proactive and pragmatic. Explain symbols and stories to children in age‑appropriate language, emphasise respect and safety, and use trusted educational materials. If your institution receives new directives, ask for specifics: what will be taught, at what ages, and what support is offered for students who need pastoral care. And if you’re worried about community division, focus on dialogue: host information sessions with healthcare professionals and educators to ground the debate in facts, not rumours.</w:t>
      </w:r>
      <w:r/>
    </w:p>
    <w:p>
      <w:r/>
      <w:r>
        <w:t>Remember, policy changes create questions but also opportunities for clarity and care.</w:t>
      </w:r>
      <w:r/>
    </w:p>
    <w:p>
      <w:r/>
      <w:r>
        <w:t>It's a small but significant shift in how a society understands identity , worth paying attention to, and worth handling with both firmness and compassion.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9">
        <w:r>
          <w:rPr>
            <w:color w:val="0000EE"/>
            <w:u w:val="single"/>
          </w:rPr>
          <w:t>[1]</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3">
        <w:r>
          <w:rPr>
            <w:color w:val="0000EE"/>
            <w:u w:val="single"/>
          </w:rPr>
          <w:t>[3]</w:t>
        </w:r>
      </w:hyperlink>
      <w:r>
        <w:t xml:space="preserve">- Paragraph 4: </w:t>
      </w:r>
      <w:hyperlink r:id="rId11">
        <w:r>
          <w:rPr>
            <w:color w:val="0000EE"/>
            <w:u w:val="single"/>
          </w:rPr>
          <w:t>[5]</w:t>
        </w:r>
      </w:hyperlink>
      <w:r>
        <w:t xml:space="preserve">, </w:t>
      </w:r>
      <w:hyperlink r:id="rId12">
        <w:r>
          <w:rPr>
            <w:color w:val="0000EE"/>
            <w:u w:val="single"/>
          </w:rPr>
          <w:t>[6]</w:t>
        </w:r>
      </w:hyperlink>
      <w:r>
        <w:t xml:space="preserve">- Paragraph 5: </w:t>
      </w:r>
      <w:hyperlink r:id="rId14">
        <w:r>
          <w:rPr>
            <w:color w:val="0000EE"/>
            <w:u w:val="single"/>
          </w:rPr>
          <w:t>[4]</w:t>
        </w:r>
      </w:hyperlink>
      <w:r>
        <w:t xml:space="preserve">, </w:t>
      </w:r>
      <w:hyperlink r:id="rId13">
        <w:r>
          <w:rPr>
            <w:color w:val="0000EE"/>
            <w:u w:val="single"/>
          </w:rPr>
          <w:t>[3]</w:t>
        </w:r>
      </w:hyperlink>
      <w:r>
        <w:t xml:space="preserve">- Paragraph 6: </w:t>
      </w:r>
      <w:hyperlink r:id="rId15">
        <w:r>
          <w:rPr>
            <w:color w:val="0000EE"/>
            <w:u w:val="single"/>
          </w:rPr>
          <w:t>[7]</w:t>
        </w:r>
      </w:hyperlink>
      <w:r>
        <w:t xml:space="preserve">, </w:t>
      </w:r>
      <w:hyperlink r:id="rId13">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https://analisis.republika.co.id/berita/thscqn415/budaya-pelangi-lgbtq</w:t>
        </w:r>
      </w:hyperlink>
      <w:r>
        <w:t xml:space="preserve"> - Please view link - unable to able to access data</w:t>
      </w:r>
      <w:r/>
    </w:p>
    <w:p>
      <w:pPr>
        <w:pStyle w:val="ListNumber"/>
        <w:spacing w:line="240" w:lineRule="auto"/>
        <w:ind w:left="720"/>
      </w:pPr>
      <w:r/>
      <w:hyperlink r:id="rId10">
        <w:r>
          <w:rPr>
            <w:color w:val="0000EE"/>
            <w:u w:val="single"/>
          </w:rPr>
          <w:t>https://www.law.cornell.edu/wex/lgbt</w:t>
        </w:r>
      </w:hyperlink>
      <w:r>
        <w:t xml:space="preserve"> - This article from the Legal Information Institute at Cornell Law School provides a comprehensive definition of the acronym LGBTQIA+, which stands for lesbian, gay, bisexual, transgender, queer (or questioning), intersex, and asexual (or aromantic/agender). The '+' symbol signifies the inclusion of additional sexual orientations, gender identities, and expressions not explicitly represented by the preceding letters. The term serves as an umbrella for diverse identities within the broader community of people whose experiences may differ from heterosexual and cisgender norms. The article also discusses the variations in the acronym, such as LGBTI, used more commonly in international and human rights contexts, highlighting the recognition of intersex individuals as a distinct group within global legal and policy frameworks.</w:t>
      </w:r>
      <w:r/>
    </w:p>
    <w:p>
      <w:pPr>
        <w:pStyle w:val="ListNumber"/>
        <w:spacing w:line="240" w:lineRule="auto"/>
        <w:ind w:left="720"/>
      </w:pPr>
      <w:r/>
      <w:hyperlink r:id="rId13">
        <w:r>
          <w:rPr>
            <w:color w:val="0000EE"/>
            <w:u w:val="single"/>
          </w:rPr>
          <w:t>https://www.ashasexualhealth.org/lgbtq/</w:t>
        </w:r>
      </w:hyperlink>
      <w:r>
        <w:t xml:space="preserve"> - The American Sexual Health Association's page explains that LGBTQ+ is an umbrella term used to describe people who may identify as lesbian, gay, bisexual, transgender, questioning, or queer. The '+' symbol represents many other identities. The page also differentiates between sexual orientation and gender identity, providing definitions of common identities and terms. It offers advice for being inclusive of everyone regardless of their gender or orientation, and for more information about the difference between sex and gender, it directs readers to another page on these two terms.</w:t>
      </w:r>
      <w:r/>
    </w:p>
    <w:p>
      <w:pPr>
        <w:pStyle w:val="ListNumber"/>
        <w:spacing w:line="240" w:lineRule="auto"/>
        <w:ind w:left="720"/>
      </w:pPr>
      <w:r/>
      <w:hyperlink r:id="rId14">
        <w:r>
          <w:rPr>
            <w:color w:val="0000EE"/>
            <w:u w:val="single"/>
          </w:rPr>
          <w:t>https://reports.hrc.org/being-an-lgbtq-ally</w:t>
        </w:r>
      </w:hyperlink>
      <w:r>
        <w:t xml:space="preserve"> - The Human Rights Campaign's page defines LGBTQ+ as standing for 'lesbian, gay, bisexual, transgender, and queer and more.' The '+' symbol represents all of the many identities on the queer spectrum. The page explains that being lesbian, gay, or bisexual refers to a person’s sexual orientation, or who they are attracted to, while being transgender refers to a person’s gender identity, or their internal sense of gender. People may refer to themselves as queer if their sexual orientation and/or gender identity is outside of the mainstream. The page also notes that these labels are not mutually exclusive, providing an example of a transgender woman who is also a lesbian.</w:t>
      </w:r>
      <w:r/>
    </w:p>
    <w:p>
      <w:pPr>
        <w:pStyle w:val="ListNumber"/>
        <w:spacing w:line="240" w:lineRule="auto"/>
        <w:ind w:left="720"/>
      </w:pPr>
      <w:r/>
      <w:hyperlink r:id="rId11">
        <w:r>
          <w:rPr>
            <w:color w:val="0000EE"/>
            <w:u w:val="single"/>
          </w:rPr>
          <w:t>https://news.fin.co.id/2026/07/04/perpres-prabowo-tetapkan-lgbtq-masuk-analisis-ancaman-nonmiliter-ini-isi-lengkap-kebijakan-pertahanan-negara-2025-2029/amp</w:t>
        </w:r>
      </w:hyperlink>
      <w:r>
        <w:t xml:space="preserve"> - This article reports that President Prabowo Subianto has officially established Presidential Regulation (Perpres) Number 111 of 2025 concerning the General Policy of National Defence (Jakumhaneg) for the years 2025-2029. A notable point in this regulation is the inclusion of the spread of LGBTQ culture as a non-military threat in the analysis of national defence. The regulation, signed by President Prabowo on October 24, 2025, serves as a strategic document providing direction for ministries, agencies, and regional governments in formulating policies related to national defence during the next five years. The article also mentions that the government explains that the preparation of threat analysis is based on developments in the strategic environment at the national, regional, and global levels.</w:t>
      </w:r>
      <w:r/>
    </w:p>
    <w:p>
      <w:pPr>
        <w:pStyle w:val="ListNumber"/>
        <w:spacing w:line="240" w:lineRule="auto"/>
        <w:ind w:left="720"/>
      </w:pPr>
      <w:r/>
      <w:hyperlink r:id="rId12">
        <w:r>
          <w:rPr>
            <w:color w:val="0000EE"/>
            <w:u w:val="single"/>
          </w:rPr>
          <w:t>https://www.liputansbm.com/2026/07/perpres-1112025-pemerintah-tetapkan.html</w:t>
        </w:r>
      </w:hyperlink>
      <w:r>
        <w:t xml:space="preserve"> - This article discusses the government's new direction in national defence policy through Presidential Regulation (Perpres) Number 111 of 2025 concerning the National Defence Policy for the years 2025–2029. One of the points that has attracted public attention in this regulation is the inclusion of the spread of Lesbian, Gay, Bisexual, Transgender, and Queer (LGBTQ) culture into the category of non-military threats in the aspects of ideology, social, and culture. The regulation, signed by President Prabowo Subianto on July 5, 2026, serves as a strategic document providing direction for ministries, agencies, and regional governments in formulating policies related to national defence during the next five years.</w:t>
      </w:r>
      <w:r/>
    </w:p>
    <w:p>
      <w:pPr>
        <w:pStyle w:val="ListNumber"/>
        <w:spacing w:line="240" w:lineRule="auto"/>
        <w:ind w:left="720"/>
      </w:pPr>
      <w:r/>
      <w:hyperlink r:id="rId15">
        <w:r>
          <w:rPr>
            <w:color w:val="0000EE"/>
            <w:u w:val="single"/>
          </w:rPr>
          <w:t>https://mededucation.stanford.edu/glossary/lgbtq/</w:t>
        </w:r>
      </w:hyperlink>
      <w:r>
        <w:t xml:space="preserve"> - Stanford Medicine's education glossary defines LGBTQ+ as an acronym collectively referring to lesbian, gay, bisexual, transgender, and queer people—a broad coalition of groups that are diverse with respect to gender and sexual orientation. In a research context, LGBTQ+ people are also often referred to as sexual and gender minority (SGM) people. The page provides references to further readings and resources for those interested in learning more about these terms and their usage.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analisis.republika.co.id/berita/thscqn415/budaya-pelangi-lgbtq" TargetMode="External"/><Relationship Id="rId10" Type="http://schemas.openxmlformats.org/officeDocument/2006/relationships/hyperlink" Target="https://www.law.cornell.edu/wex/lgbt" TargetMode="External"/><Relationship Id="rId11" Type="http://schemas.openxmlformats.org/officeDocument/2006/relationships/hyperlink" Target="https://news.fin.co.id/2026/07/04/perpres-prabowo-tetapkan-lgbtq-masuk-analisis-ancaman-nonmiliter-ini-isi-lengkap-kebijakan-pertahanan-negara-2025-2029/amp" TargetMode="External"/><Relationship Id="rId12" Type="http://schemas.openxmlformats.org/officeDocument/2006/relationships/hyperlink" Target="https://www.liputansbm.com/2026/07/perpres-1112025-pemerintah-tetapkan.html" TargetMode="External"/><Relationship Id="rId13" Type="http://schemas.openxmlformats.org/officeDocument/2006/relationships/hyperlink" Target="https://www.ashasexualhealth.org/lgbtq/" TargetMode="External"/><Relationship Id="rId14" Type="http://schemas.openxmlformats.org/officeDocument/2006/relationships/hyperlink" Target="https://reports.hrc.org/being-an-lgbtq-ally" TargetMode="External"/><Relationship Id="rId15" Type="http://schemas.openxmlformats.org/officeDocument/2006/relationships/hyperlink" Target="https://mededucation.stanford.edu/glossary/lgbtq/"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