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Free-Speech Win for Counselors: What Chiles v. Salazar Means Now</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for legal clarity and people who turn to counsellors are watching closely , a recent Supreme Court ruling in Chiles v. Salazar has cleared space for therapists and religious advisers to speak freely with clients about sexuality and gender. This matters for counsellors, faith communities and anyone worried about where counselling ends and state regulation begins.</w:t>
      </w:r>
      <w:r/>
    </w:p>
    <w:p>
      <w:r/>
      <w:r>
        <w:t>Essential Takeaways</w:t>
      </w:r>
      <w:r/>
      <w:r/>
    </w:p>
    <w:p>
      <w:pPr>
        <w:pStyle w:val="ListBullet"/>
        <w:spacing w:line="240" w:lineRule="auto"/>
        <w:ind w:left="720"/>
      </w:pPr>
      <w:r/>
      <w:r>
        <w:rPr>
          <w:b/>
        </w:rPr>
        <w:t>Major legal ruling:</w:t>
      </w:r>
      <w:r>
        <w:t xml:space="preserve"> The Supreme Court sided with counsellor Kaley Chiles, limiting the reach of Colorado’s Minor Conversion Therapy Law and protecting certain speech in therapeutic settings.</w:t>
      </w:r>
      <w:r/>
    </w:p>
    <w:p>
      <w:pPr>
        <w:pStyle w:val="ListBullet"/>
        <w:spacing w:line="240" w:lineRule="auto"/>
        <w:ind w:left="720"/>
      </w:pPr>
      <w:r/>
      <w:r>
        <w:rPr>
          <w:b/>
        </w:rPr>
        <w:t>Religious stake:</w:t>
      </w:r>
      <w:r>
        <w:t xml:space="preserve"> Catholic and other religious briefs argued the case raises core questions about moral counsel and the right to seek guidance from trusted advisors.</w:t>
      </w:r>
      <w:r/>
    </w:p>
    <w:p>
      <w:pPr>
        <w:pStyle w:val="ListBullet"/>
        <w:spacing w:line="240" w:lineRule="auto"/>
        <w:ind w:left="720"/>
      </w:pPr>
      <w:r/>
      <w:r>
        <w:rPr>
          <w:b/>
        </w:rPr>
        <w:t>Practical effect:</w:t>
      </w:r>
      <w:r>
        <w:t xml:space="preserve"> Therapists who work with clients seeking to align identity or behaviour with their beliefs now have stronger First Amendment protections.</w:t>
      </w:r>
      <w:r/>
    </w:p>
    <w:p>
      <w:pPr>
        <w:pStyle w:val="ListBullet"/>
        <w:spacing w:line="240" w:lineRule="auto"/>
        <w:ind w:left="720"/>
      </w:pPr>
      <w:r/>
      <w:r>
        <w:rPr>
          <w:b/>
        </w:rPr>
        <w:t>Consumer impact:</w:t>
      </w:r>
      <w:r>
        <w:t xml:space="preserve"> Clients can expect continued access to a wider range of counselling perspectives, though specifics depend on local laws and professional rules.</w:t>
      </w:r>
      <w:r/>
    </w:p>
    <w:p>
      <w:pPr>
        <w:pStyle w:val="ListBullet"/>
        <w:spacing w:line="240" w:lineRule="auto"/>
        <w:ind w:left="720"/>
      </w:pPr>
      <w:r/>
      <w:r>
        <w:rPr>
          <w:b/>
        </w:rPr>
        <w:t>Sensory cue:</w:t>
      </w:r>
      <w:r>
        <w:t xml:space="preserve"> The decision brings a sharper, clearer legal boundary , more like a trimmed hedge than an open meadow.</w:t>
      </w:r>
      <w:r/>
      <w:r/>
    </w:p>
    <w:p>
      <w:pPr>
        <w:pStyle w:val="Heading2"/>
      </w:pPr>
      <w:r>
        <w:t>Why this ruling landed as a free-speech moment</w:t>
      </w:r>
      <w:r/>
    </w:p>
    <w:p>
      <w:r/>
      <w:r>
        <w:t>The Supreme Court’s decision in Chiles v. Salazar reads like a pivot: it protects a counsellor’s right to offer speech that aligns with a client’s goals, even when state law aimed to ban certain therapeutic approaches. That feels reassuring if you care about open conversation in therapy , the ruling foregrounds dialogue over prohibition. According to legal analyses, the court focused on First Amendment protections for professional speech and the limits of legislative bans. For anyone worried state power might sweep away nuanced counselling conversations, this is a significant pushback.</w:t>
      </w:r>
      <w:r/>
    </w:p>
    <w:p>
      <w:pPr>
        <w:pStyle w:val="Heading2"/>
      </w:pPr>
      <w:r>
        <w:t>How religious groups framed the stakes , beyond policy</w:t>
      </w:r>
      <w:r/>
    </w:p>
    <w:p>
      <w:r/>
      <w:r>
        <w:t>Religious organisations argued that the case wasn’t just about technique, it was about how people pursue moral and identity questions with trusted guides. The United States Conference of Catholic Bishops, for instance, told the court the dispute touches on “fundamental and enduring” questions about human flourishing and the moral order. That framing matters because it shifts the conversation from clinical practice rules to conscience and the long human habit of seeking counsel. If you attend a faith-based counsellor, this context helps explain why many groups rallied behind Chiles.</w:t>
      </w:r>
      <w:r/>
    </w:p>
    <w:p>
      <w:pPr>
        <w:pStyle w:val="Heading2"/>
      </w:pPr>
      <w:r>
        <w:t>What therapists and clients should watch next</w:t>
      </w:r>
      <w:r/>
    </w:p>
    <w:p>
      <w:r/>
      <w:r>
        <w:t>This decision doesn’t create a free-for-all , it clarifies constitutional lines. Therapists should still follow licensing boards and ethical codes, and clients should ask direct questions about approach, expected outcomes, and safeguards. If you’re choosing a counsellor, probe how they handle goals around sexuality and gender, whether they use evidence-based practices, and how they protect your wellbeing. Regulators may respond with narrower rules or challenges, so the landscape will keep shifting , think of this ruling as a reset rather than a final word.</w:t>
      </w:r>
      <w:r/>
    </w:p>
    <w:p>
      <w:pPr>
        <w:pStyle w:val="Heading2"/>
      </w:pPr>
      <w:r>
        <w:t>How the ruling fits into wider trends in law and healthcare</w:t>
      </w:r>
      <w:r/>
    </w:p>
    <w:p>
      <w:r/>
      <w:r>
        <w:t>Courts have increasingly balanced speech rights against public-health regulation, and Chiles v. Salazar slots into that pattern. Law firms and legal scholars noted the decision’s technical focus on professional speech doctrine, while also highlighting potential ripple effects for other state laws that curb expression in client interactions. For consumers, that means related legislation might be tweaked or relitigated rather than simply enforced. If you follow policy debates, expect more targeted measures and legal skirmishes rather than sweeping bans.</w:t>
      </w:r>
      <w:r/>
    </w:p>
    <w:p>
      <w:pPr>
        <w:pStyle w:val="Heading2"/>
      </w:pPr>
      <w:r>
        <w:t>Practical tips for consumers and counsellors</w:t>
      </w:r>
      <w:r/>
    </w:p>
    <w:p>
      <w:r/>
      <w:r>
        <w:t>If you’re a client: ask early about a therapist’s stance, typical methods, and how they prioritise safety and consent. If you’re a counsellor: document informed consent, be transparent about goals, and stay current with licensing guidance. For faith-based advisers: clarify when conversations are pastoral rather than clinical, and consider referral options for specialised care. These small steps keep conversations honest and protect both parties.</w:t>
      </w:r>
      <w:r/>
    </w:p>
    <w:p>
      <w:r/>
      <w:r>
        <w:t>It's a small change that can make every counselling conversation clearer and safer.</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2">
        <w:r>
          <w:rPr>
            <w:color w:val="0000EE"/>
            <w:u w:val="single"/>
          </w:rPr>
          <w:t>[4]</w:t>
        </w:r>
      </w:hyperlink>
      <w:r>
        <w:t xml:space="preserve">, </w:t>
      </w:r>
      <w:hyperlink r:id="rId12">
        <w:r>
          <w:rPr>
            <w:color w:val="0000EE"/>
            <w:u w:val="single"/>
          </w:rPr>
          <w:t>[5]</w:t>
        </w:r>
      </w:hyperlink>
      <w:r>
        <w:t xml:space="preserve">- Paragraph 3: </w:t>
      </w:r>
      <w:hyperlink r:id="rId12">
        <w:r>
          <w:rPr>
            <w:color w:val="0000EE"/>
            <w:u w:val="single"/>
          </w:rPr>
          <w:t>[6]</w:t>
        </w:r>
      </w:hyperlink>
      <w:r>
        <w:t xml:space="preserve">, </w:t>
      </w:r>
      <w:hyperlink r:id="rId10">
        <w:r>
          <w:rPr>
            <w:color w:val="0000EE"/>
            <w:u w:val="single"/>
          </w:rPr>
          <w:t>[2]</w:t>
        </w:r>
      </w:hyperlink>
      <w:r>
        <w:t xml:space="preserve">- Paragraph 4: </w:t>
      </w:r>
      <w:hyperlink r:id="rId11">
        <w:r>
          <w:rPr>
            <w:color w:val="0000EE"/>
            <w:u w:val="single"/>
          </w:rPr>
          <w:t>[3]</w:t>
        </w:r>
      </w:hyperlink>
      <w:r>
        <w:t xml:space="preserve">, </w:t>
      </w:r>
      <w:hyperlink r:id="rId12">
        <w:r>
          <w:rPr>
            <w:color w:val="0000EE"/>
            <w:u w:val="single"/>
          </w:rPr>
          <w:t>[4]</w:t>
        </w:r>
      </w:hyperlink>
      <w:r>
        <w:t xml:space="preserve">- Paragraph 5: </w:t>
      </w:r>
      <w:hyperlink r:id="rId12">
        <w:r>
          <w:rPr>
            <w:color w:val="0000EE"/>
            <w:u w:val="single"/>
          </w:rPr>
          <w:t>[5]</w:t>
        </w:r>
      </w:hyperlink>
      <w:r>
        <w:t xml:space="preserve">, </w:t>
      </w:r>
      <w:hyperlink r:id="rId12">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https://anglicanmainstream.org/article/free-speech-victory-for-counselors-part-3/</w:t>
        </w:r>
      </w:hyperlink>
      <w:r>
        <w:t xml:space="preserve"> - Please view link - unable to able to access data</w:t>
      </w:r>
      <w:r/>
    </w:p>
    <w:p>
      <w:pPr>
        <w:pStyle w:val="ListNumber"/>
        <w:spacing w:line="240" w:lineRule="auto"/>
        <w:ind w:left="720"/>
      </w:pPr>
      <w:r/>
      <w:hyperlink r:id="rId10">
        <w:r>
          <w:rPr>
            <w:color w:val="0000EE"/>
            <w:u w:val="single"/>
          </w:rPr>
          <w:t>https://www.faegredrinker.com/en/insights/publications/2026/3/supreme-court-decides-chiles-v-salazar</w:t>
        </w:r>
      </w:hyperlink>
      <w:r>
        <w:t xml:space="preserve"> - On March 31, 2026, the U.S. Supreme Court decided Chiles v. Salazar, holding that a First Amendment challenge to a law regulating talk therapy based on the counselor’s viewpoint triggers strict scrutiny, requiring the government to prove its restriction is narrowly tailored to serve compelling state interests. The case involved a Colorado mental-health counselor who challenged the state's 2019 law prohibiting licensed counselors from engaging in 'conversion therapy' with minors. The Court's decision has significant implications for the regulation of professional speech and the protection of First Amendment rights in the context of mental health counseling.</w:t>
      </w:r>
      <w:r/>
    </w:p>
    <w:p>
      <w:pPr>
        <w:pStyle w:val="ListNumber"/>
        <w:spacing w:line="240" w:lineRule="auto"/>
        <w:ind w:left="720"/>
      </w:pPr>
      <w:r/>
      <w:hyperlink r:id="rId11">
        <w:r>
          <w:rPr>
            <w:color w:val="0000EE"/>
            <w:u w:val="single"/>
          </w:rPr>
          <w:t>https://www.law.cornell.edu/supct/cert/24-539</w:t>
        </w:r>
      </w:hyperlink>
      <w:r>
        <w:t xml:space="preserve"> - Chiles v. Salazar is a U.S. Supreme Court case that examines whether Colorado's Minor Conversion Therapy Law (MCTL), which prohibits mental health professionals from providing LGBTQ+ conversion therapy to minor clients, violates the Free Speech Clause of the First Amendment. The case raises questions about the extent of state regulatory authority over professional conduct and the protection of free speech rights for counselors and therapists. The Supreme Court's decision in this case is anticipated to have significant implications for the regulation of professional speech and the rights of mental health professionals.</w:t>
      </w:r>
      <w:r/>
    </w:p>
    <w:p>
      <w:pPr>
        <w:pStyle w:val="ListNumber"/>
        <w:spacing w:line="240" w:lineRule="auto"/>
        <w:ind w:left="720"/>
      </w:pPr>
      <w:r/>
      <w:hyperlink r:id="rId12">
        <w:r>
          <w:rPr>
            <w:color w:val="0000EE"/>
            <w:u w:val="single"/>
          </w:rPr>
          <w:t>https://www.law.cornell.edu/supremecourt/text/24-539</w:t>
        </w:r>
      </w:hyperlink>
      <w:r>
        <w:t xml:space="preserve"> - The syllabus for Chiles v. Salazar provides an overview of the Supreme Court's decision in this case, which involves a First Amendment challenge to Colorado's Minor Conversion Therapy Law (MCTL). The Court held that the MCTL, as applied to the petitioner, constitutes viewpoint discrimination and requires strict scrutiny review. The decision has significant implications for the regulation of professional speech and the protection of First Amendment rights in the context of mental health counseling. The case is remanded for further proceedings consistent with the Court's opinion.</w:t>
      </w:r>
      <w:r/>
    </w:p>
    <w:p>
      <w:pPr>
        <w:pStyle w:val="ListNumber"/>
        <w:spacing w:line="240" w:lineRule="auto"/>
        <w:ind w:left="720"/>
      </w:pPr>
      <w:r/>
      <w:hyperlink r:id="rId12">
        <w:r>
          <w:rPr>
            <w:color w:val="0000EE"/>
            <w:u w:val="single"/>
          </w:rPr>
          <w:t>https://www.law.cornell.edu/supremecourt/text/24-539</w:t>
        </w:r>
      </w:hyperlink>
      <w:r>
        <w:t xml:space="preserve"> - The opinion of the Court in Chiles v. Salazar, authored by Justice Gorsuch, addresses the First Amendment implications of Colorado's Minor Conversion Therapy Law (MCTL). The Court held that the MCTL, as applied to the petitioner, constitutes viewpoint discrimination and requires strict scrutiny review. The decision has significant implications for the regulation of professional speech and the protection of First Amendment rights in the context of mental health counseling. The case is remanded for further proceedings consistent with the Court's opinion.</w:t>
      </w:r>
      <w:r/>
    </w:p>
    <w:p>
      <w:pPr>
        <w:pStyle w:val="ListNumber"/>
        <w:spacing w:line="240" w:lineRule="auto"/>
        <w:ind w:left="720"/>
      </w:pPr>
      <w:r/>
      <w:hyperlink r:id="rId12">
        <w:r>
          <w:rPr>
            <w:color w:val="0000EE"/>
            <w:u w:val="single"/>
          </w:rPr>
          <w:t>https://www.law.cornell.edu/supremecourt/text/24-539</w:t>
        </w:r>
      </w:hyperlink>
      <w:r>
        <w:t xml:space="preserve"> - Justice Kagan's concurrence in Chiles v. Salazar emphasizes the importance of protecting free speech rights for mental health professionals while also acknowledging the state's interest in protecting minors from potentially harmful practices. The concurrence highlights the need for a balanced approach that considers both the rights of counselors and the well-being of clients. The decision has significant implications for the regulation of professional speech and the protection of First Amendment rights in the context of mental health counseling.</w:t>
      </w:r>
      <w:r/>
    </w:p>
    <w:p>
      <w:pPr>
        <w:pStyle w:val="ListNumber"/>
        <w:spacing w:line="240" w:lineRule="auto"/>
        <w:ind w:left="720"/>
      </w:pPr>
      <w:r/>
      <w:hyperlink r:id="rId12">
        <w:r>
          <w:rPr>
            <w:color w:val="0000EE"/>
            <w:u w:val="single"/>
          </w:rPr>
          <w:t>https://www.law.cornell.edu/supremecourt/text/24-539</w:t>
        </w:r>
      </w:hyperlink>
      <w:r>
        <w:t xml:space="preserve"> - Justice Jackson's dissent in Chiles v. Salazar expresses concern about the Court's decision to apply strict scrutiny to Colorado's Minor Conversion Therapy Law (MCTL). The dissent argues that the law is a legitimate exercise of the state's authority to protect minors from potentially harmful practices and that the Court's decision undermines the state's ability to regulate professional conduct. The dissent highlights the potential negative impact of the decision on the regulation of professional speech and the protection of minors.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anglicanmainstream.org/article/free-speech-victory-for-counselors-part-3/" TargetMode="External"/><Relationship Id="rId10" Type="http://schemas.openxmlformats.org/officeDocument/2006/relationships/hyperlink" Target="https://www.faegredrinker.com/en/insights/publications/2026/3/supreme-court-decides-chiles-v-salazar" TargetMode="External"/><Relationship Id="rId11" Type="http://schemas.openxmlformats.org/officeDocument/2006/relationships/hyperlink" Target="https://www.law.cornell.edu/supct/cert/24-539" TargetMode="External"/><Relationship Id="rId12" Type="http://schemas.openxmlformats.org/officeDocument/2006/relationships/hyperlink" Target="https://www.law.cornell.edu/supremecourt/text/24-53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