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Dermatology Tips for LGBTIQA+ Patients Navigating Hidden Allergen Risks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the overlooked irritants matters: clinicians and patients alike are rethinking how gender‑affirming care, cosmetics, garments and sexual health products can expose LGBTIQA+ people to contact allergens, and why tailored history‑taking and patch testing can cut months of misery.</w:t>
      </w:r>
      <w:r/>
    </w:p>
    <w:p>
      <w:r/>
      <w:r>
        <w:t>Essential Takeaways</w:t>
      </w:r>
      <w:r/>
      <w:r/>
    </w:p>
    <w:p>
      <w:pPr>
        <w:pStyle w:val="ListBullet"/>
        <w:spacing w:line="240" w:lineRule="auto"/>
        <w:ind w:left="720"/>
      </w:pPr>
      <w:r/>
      <w:r>
        <w:rPr>
          <w:b/>
        </w:rPr>
        <w:t>Common culprits:</w:t>
      </w:r>
      <w:r>
        <w:t xml:space="preserve"> adhesives, acrylates, fragrance mixes, preservatives, rubber accelerators and textile dyes are frequent causes of contact dermatitis in gender‑affirming contexts. </w:t>
      </w:r>
      <w:r/>
    </w:p>
    <w:p>
      <w:pPr>
        <w:pStyle w:val="ListBullet"/>
        <w:spacing w:line="240" w:lineRule="auto"/>
        <w:ind w:left="720"/>
      </w:pPr>
      <w:r/>
      <w:r>
        <w:rPr>
          <w:b/>
        </w:rPr>
        <w:t>High‑risk settings:</w:t>
      </w:r>
      <w:r>
        <w:t xml:space="preserve"> transdermal patches, topical hormone gels, prosthetic adhesives, long‑wear cosmetics and tight compression garments create occlusion and friction that increase sensitisation. </w:t>
      </w:r>
      <w:r/>
    </w:p>
    <w:p>
      <w:pPr>
        <w:pStyle w:val="ListBullet"/>
        <w:spacing w:line="240" w:lineRule="auto"/>
        <w:ind w:left="720"/>
      </w:pPr>
      <w:r/>
      <w:r>
        <w:rPr>
          <w:b/>
        </w:rPr>
        <w:t>Look beyond the usual:</w:t>
      </w:r>
      <w:r>
        <w:t xml:space="preserve"> anogenital reactions or wound‑site dermatitis may mimic infection; ask about sexual health products, binders, tucking and tattoo inks. </w:t>
      </w:r>
      <w:r/>
    </w:p>
    <w:p>
      <w:pPr>
        <w:pStyle w:val="ListBullet"/>
        <w:spacing w:line="240" w:lineRule="auto"/>
        <w:ind w:left="720"/>
      </w:pPr>
      <w:r/>
      <w:r>
        <w:rPr>
          <w:b/>
        </w:rPr>
        <w:t>Practical fix:</w:t>
      </w:r>
      <w:r>
        <w:t xml:space="preserve"> consider alternative hormone delivery, medical‑grade adhesives, low‑fragrance cosmetics and rotation or limits on continuous binder wear to reduce exposure. </w:t>
      </w:r>
      <w:r/>
    </w:p>
    <w:p>
      <w:pPr>
        <w:pStyle w:val="ListBullet"/>
        <w:spacing w:line="240" w:lineRule="auto"/>
        <w:ind w:left="720"/>
      </w:pPr>
      <w:r/>
      <w:r>
        <w:rPr>
          <w:b/>
        </w:rPr>
        <w:t>Communication matters:</w:t>
      </w:r>
      <w:r>
        <w:t xml:space="preserve"> inclusive, SOGI‑informed history‑taking and routine collection of sexual orientation and gender identity data in registries improve diagnosis and care.</w:t>
      </w:r>
      <w:r/>
      <w:r/>
    </w:p>
    <w:p>
      <w:pPr>
        <w:pStyle w:val="Heading2"/>
      </w:pPr>
      <w:r>
        <w:t>Why this review feels urgent now</w:t>
      </w:r>
      <w:r/>
    </w:p>
    <w:p>
      <w:r/>
      <w:r>
        <w:t>A new narrative review in the Australasian Journal of Dermatology pulls together patch‑test data, case reports and registry findings to map how gender expression and gender‑affirming care create unique exposure patterns. The picture is tactile and immediate: sticky transdermal patches, snug binders and long‑wear foundation all change how allergens meet skin. For clinicians and patients, that sensory detail matters , these are not abstract risks, they’re daily realities that can produce pinpoint rashes, blistering or long‑standing dermatitis.</w:t>
      </w:r>
      <w:r/>
    </w:p>
    <w:p>
      <w:pPr>
        <w:pStyle w:val="Heading2"/>
      </w:pPr>
      <w:r>
        <w:t>Gender‑affirming therapies: a hidden allergen pathway</w:t>
      </w:r>
      <w:r/>
    </w:p>
    <w:p>
      <w:r/>
      <w:r>
        <w:t>Transdermal oestrogen patches and topical testosterone preparations are hugely important for many trans patients, yet their excipients can irritate or sensitise. Acrylate adhesives and propylene glycol turn up repeatedly in reports of sharply localised reactions that are easily mistaken for irritation or infection. So if a rash hugs the patch site or the gel application area, ask about the formulation. Injectable hormones or alternate adhesive systems are simple switches that often resolve symptoms while preserving gender‑affirming care.</w:t>
      </w:r>
      <w:r/>
    </w:p>
    <w:p>
      <w:pPr>
        <w:pStyle w:val="Heading2"/>
      </w:pPr>
      <w:r>
        <w:t>Cosmetics, prosthetics and performance products , not just vanity issues</w:t>
      </w:r>
      <w:r/>
    </w:p>
    <w:p>
      <w:r/>
      <w:r>
        <w:t>Long‑wear makeup, spirit gum and hair dyes have real dermatological consequences. Film‑forming acrylates, perfumes, preservatives and colophony in prosthetic adhesives can produce facial or chest dermatitis, while para‑phenylenediamine in permanent dyes remains a potent sensitiser for anyone regularly colouring facial or scalp hair. Practically, choosing low‑fragrance, preservative‑limited products, patch‑testing cosmetics when possible, and steering clear of known PPD formulations can reduce flare‑ups without policing someone’s gender expression.</w:t>
      </w:r>
      <w:r/>
    </w:p>
    <w:p>
      <w:pPr>
        <w:pStyle w:val="Heading2"/>
      </w:pPr>
      <w:r>
        <w:t>Binders, tucking garments and sexual health products , everyday exposures</w:t>
      </w:r>
      <w:r/>
    </w:p>
    <w:p>
      <w:r/>
      <w:r>
        <w:t>Compression garments and tight underlayers are common tools in gender expression, but elastic fabrics, metal fastenings and dyes can leak rubber accelerators and nickel onto skin, and the prolonged occlusion worsens barrier breakdown. Sexual health items , even latex‑free condoms and lubricants , may still contain rubber chemicals, adhesives or topical anaesthetics that provoke anogenital dermatitis. The practical take: clinicians should explicitly ask about these items, consider textile dye and rubber accelerator series when patch testing, and recommend rotation, breathable materials or medical‑grade alternatives.</w:t>
      </w:r>
      <w:r/>
    </w:p>
    <w:p>
      <w:pPr>
        <w:pStyle w:val="Heading2"/>
      </w:pPr>
      <w:r>
        <w:t>Tattoos, permanent makeup and the delayed reaction problem</w:t>
      </w:r>
      <w:r/>
    </w:p>
    <w:p>
      <w:r/>
      <w:r>
        <w:t>Tattoos and permanent cosmetics are increasingly used to affirm identity, yet pigments and metal salts can trigger delayed hypersensitivity months or years later. Red pigments and azo dyes are frequent offenders, and eyebrow or lip pigments can be poorly regulated. For patients with unexplained chronic inflammation at tattooed or pigmented sites, clinicians should keep a high index of suspicion and discuss removal risks and management, while supporting informed choices about ink types going forward.</w:t>
      </w:r>
      <w:r/>
    </w:p>
    <w:p>
      <w:pPr>
        <w:pStyle w:val="Heading2"/>
      </w:pPr>
      <w:r>
        <w:t>Barriers to diagnosis , why many cases stay hidden</w:t>
      </w:r>
      <w:r/>
    </w:p>
    <w:p>
      <w:r/>
      <w:r>
        <w:t>Stigma, prior negative healthcare encounters and discomfort disclosing binding, tucking or sexual practices all delay diagnosis and prolong suffering. The review argues for routine SOGI data collection in patch‑test registries and training clinicians in non‑judgemental, SOGI‑informed history‑taking. That’s not bureaucratic nitpicking , it directly improves diagnostic accuracy, trust and outcomes. A simple question about products and practices can stop months of misattribution to eczema, fungal disease or infection.</w:t>
      </w:r>
      <w:r/>
    </w:p>
    <w:p>
      <w:r/>
      <w:r>
        <w:t>It's a small change to consultations that can make every treatment and product choice safer and more sustainable.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[6]</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4">
        <w:r>
          <w:rPr>
            <w:color w:val="0000EE"/>
            <w:u w:val="single"/>
          </w:rPr>
          <w:t>[7]</w:t>
        </w:r>
      </w:hyperlink>
      <w:r>
        <w:t xml:space="preserve">- Paragraph 6: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https://www.dermatologyrepublic.com.au/hidden-allergen-risks-for-lgbtiqa-patients/2667</w:t>
        </w:r>
      </w:hyperlink>
      <w:r>
        <w:t xml:space="preserve"> - Please view link - unable to able to access data</w:t>
      </w:r>
      <w:r/>
    </w:p>
    <w:p>
      <w:pPr>
        <w:pStyle w:val="ListNumber"/>
        <w:spacing w:line="240" w:lineRule="auto"/>
        <w:ind w:left="720"/>
      </w:pPr>
      <w:r/>
      <w:hyperlink r:id="rId10">
        <w:r>
          <w:rPr>
            <w:color w:val="0000EE"/>
            <w:u w:val="single"/>
          </w:rPr>
          <w:t>https://pubmed.ncbi.nlm.nih.gov/30744875/</w:t>
        </w:r>
      </w:hyperlink>
      <w:r>
        <w:t xml:space="preserve"> - This article discusses the dermatological health issues faced by lesbian, gay, bisexual, and transgender (LGBT) individuals, highlighting their increased risk for certain infectious diseases, such as HIV and syphilis, as well as non-infectious conditions like skin cancer. It emphasizes the need for preventive healthcare measures, including screenings for HIV and other sexually transmitted diseases, vaccinations, and HIV pre-exposure prophylaxis, tailored to the specific needs of men who have sex with men (MSM), women who have sex with women (WSW), and transgender patients undergoing gender-affirming treatments.</w:t>
      </w:r>
      <w:r/>
    </w:p>
    <w:p>
      <w:pPr>
        <w:pStyle w:val="ListNumber"/>
        <w:spacing w:line="240" w:lineRule="auto"/>
        <w:ind w:left="720"/>
      </w:pPr>
      <w:r/>
      <w:hyperlink r:id="rId11">
        <w:r>
          <w:rPr>
            <w:color w:val="0000EE"/>
            <w:u w:val="single"/>
          </w:rPr>
          <w:t>https://www.dermatologytimes.com/view/addressing-the-unique-skin-health-needs-of-lgbtq-patients</w:t>
        </w:r>
      </w:hyperlink>
      <w:r>
        <w:t xml:space="preserve"> - This article addresses the unique dermatological needs of LGBTQ+ patients, noting that over 14 million U.S. adults identify as LGBTQ+. It highlights skin conditions disproportionately affecting this community, such as sexually transmitted infections, acne, and hair loss related to gender-affirming treatments. The piece underscores the importance of dermatologists being aware of these issues to provide appropriate care and improve the health and quality of life for LGBTQ+ individuals.</w:t>
      </w:r>
      <w:r/>
    </w:p>
    <w:p>
      <w:pPr>
        <w:pStyle w:val="ListNumber"/>
        <w:spacing w:line="240" w:lineRule="auto"/>
        <w:ind w:left="720"/>
      </w:pPr>
      <w:r/>
      <w:hyperlink r:id="rId13">
        <w:r>
          <w:rPr>
            <w:color w:val="0000EE"/>
            <w:u w:val="single"/>
          </w:rPr>
          <w:t>https://www.mdedge.com/dermatology/article/239449/diversity-medicine/lgbtq-patients-face-unique-skin-risks</w:t>
        </w:r>
      </w:hyperlink>
      <w:r>
        <w:t xml:space="preserve"> - This article highlights the unique dermatological risks faced by LGBTQ+ patients, including a higher risk of skin cancer among gay men, possibly due to excess ultraviolet exposure, and acne in transgender individuals, who are especially vulnerable because of hormone therapy. It emphasizes the need for dermatologists to be aware of these special hazards to provide appropriate care for the LGBTQ+ community.</w:t>
      </w:r>
      <w:r/>
    </w:p>
    <w:p>
      <w:pPr>
        <w:pStyle w:val="ListNumber"/>
        <w:spacing w:line="240" w:lineRule="auto"/>
        <w:ind w:left="720"/>
      </w:pPr>
      <w:r/>
      <w:hyperlink r:id="rId15">
        <w:r>
          <w:rPr>
            <w:color w:val="0000EE"/>
            <w:u w:val="single"/>
          </w:rPr>
          <w:t>https://journals.sagepub.com/doi/10.1089/DERM.0000000000000959</w:t>
        </w:r>
      </w:hyperlink>
      <w:r>
        <w:t xml:space="preserve"> - This study examines the disparities in allergic contact dermatitis (ACD) among sexual and gender minority (SGM) patients, identifying common allergens such as nitrates, fragrance mix, methylisothiazolinone, and allergens found in chest binders. It calls for increased awareness and tailored dermatological care to address these unique exposures and improve health outcomes for SGM individuals.</w:t>
      </w:r>
      <w:r/>
    </w:p>
    <w:p>
      <w:pPr>
        <w:pStyle w:val="ListNumber"/>
        <w:spacing w:line="240" w:lineRule="auto"/>
        <w:ind w:left="720"/>
      </w:pPr>
      <w:r/>
      <w:hyperlink r:id="rId12">
        <w:r>
          <w:rPr>
            <w:color w:val="0000EE"/>
            <w:u w:val="single"/>
          </w:rPr>
          <w:t>https://dermnetnz.org/topics/allergy-to-acrylate</w:t>
        </w:r>
      </w:hyperlink>
      <w:r>
        <w:t xml:space="preserve"> - This article provides information on acrylate allergies, detailing their presence in various products and the symptoms they cause, such as itching, burning, scaling, and blistering. It also discusses the risk factors for developing an allergy to acrylates and offers guidance on diagnosis, treatment, and prevention, emphasizing the importance of avoiding direct contact with acrylate monomers to prevent allergic reactions.</w:t>
      </w:r>
      <w:r/>
    </w:p>
    <w:p>
      <w:pPr>
        <w:pStyle w:val="ListNumber"/>
        <w:spacing w:line="240" w:lineRule="auto"/>
        <w:ind w:left="720"/>
      </w:pPr>
      <w:r/>
      <w:hyperlink r:id="rId14">
        <w:r>
          <w:rPr>
            <w:color w:val="0000EE"/>
            <w:u w:val="single"/>
          </w:rPr>
          <w:t>https://jamanetwork.com/journals/jamadermatology/fullarticle/2715094</w:t>
        </w:r>
      </w:hyperlink>
      <w:r>
        <w:t xml:space="preserve"> - This article discusses the health disparities faced by sexual and gender minority (SGM) populations, including unique dermatology-specific health issues. It emphasizes the importance of routine collection of sexual orientation and gender identity data to provide culturally sensitive and medically appropriate care, aiming to mitigate these disparities and improve health outcomes for SGM patients.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ermatologyrepublic.com.au/hidden-allergen-risks-for-lgbtiqa-patients/2667" TargetMode="External"/><Relationship Id="rId10" Type="http://schemas.openxmlformats.org/officeDocument/2006/relationships/hyperlink" Target="https://pubmed.ncbi.nlm.nih.gov/30744875/" TargetMode="External"/><Relationship Id="rId11" Type="http://schemas.openxmlformats.org/officeDocument/2006/relationships/hyperlink" Target="https://www.dermatologytimes.com/view/addressing-the-unique-skin-health-needs-of-lgbtq-patients" TargetMode="External"/><Relationship Id="rId12" Type="http://schemas.openxmlformats.org/officeDocument/2006/relationships/hyperlink" Target="https://dermnetnz.org/topics/allergy-to-acrylate" TargetMode="External"/><Relationship Id="rId13" Type="http://schemas.openxmlformats.org/officeDocument/2006/relationships/hyperlink" Target="https://www.mdedge.com/dermatology/article/239449/diversity-medicine/lgbtq-patients-face-unique-skin-risks" TargetMode="External"/><Relationship Id="rId14" Type="http://schemas.openxmlformats.org/officeDocument/2006/relationships/hyperlink" Target="https://jamanetwork.com/journals/jamadermatology/fullarticle/2715094" TargetMode="External"/><Relationship Id="rId15" Type="http://schemas.openxmlformats.org/officeDocument/2006/relationships/hyperlink" Target="https://journals.sagepub.com/doi/10.1089/DERM.00000000000009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