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Community Response: Fenway Health Joins Coalition to Protect Research-Backed Care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for solidarity are mobilising , Fenway Health has joined 35-plus organisations in a unified pledge to defend access to established, research-backed healthcare, including transgender care, and to coordinate legal, clinical and community resources so patients still find clear pathways to care.</w:t>
      </w:r>
      <w:r/>
    </w:p>
    <w:p>
      <w:r/>
      <w:r>
        <w:t>Essential Takeaways</w:t>
      </w:r>
      <w:r/>
      <w:r/>
    </w:p>
    <w:p>
      <w:pPr>
        <w:pStyle w:val="ListBullet"/>
        <w:spacing w:line="240" w:lineRule="auto"/>
        <w:ind w:left="720"/>
      </w:pPr>
      <w:r/>
      <w:r>
        <w:rPr>
          <w:b/>
        </w:rPr>
        <w:t>Broad coalition:</w:t>
      </w:r>
      <w:r>
        <w:t xml:space="preserve"> More than 35 groups, from national NGOs to local health centres, signed a joint statement committing to protect evidence-based care.</w:t>
      </w:r>
      <w:r/>
    </w:p>
    <w:p>
      <w:pPr>
        <w:pStyle w:val="ListBullet"/>
        <w:spacing w:line="240" w:lineRule="auto"/>
        <w:ind w:left="720"/>
      </w:pPr>
      <w:r/>
      <w:r>
        <w:rPr>
          <w:b/>
        </w:rPr>
        <w:t>Shared responsibility:</w:t>
      </w:r>
      <w:r>
        <w:t xml:space="preserve"> The declaration stresses care access won’t hinge on any single institution, funding stream or provider.</w:t>
      </w:r>
      <w:r/>
    </w:p>
    <w:p>
      <w:pPr>
        <w:pStyle w:val="ListBullet"/>
        <w:spacing w:line="240" w:lineRule="auto"/>
        <w:ind w:left="720"/>
      </w:pPr>
      <w:r/>
      <w:r>
        <w:rPr>
          <w:b/>
        </w:rPr>
        <w:t>Active steps:</w:t>
      </w:r>
      <w:r>
        <w:t xml:space="preserve"> Signatories pledge to expand capacity, deepen provider networks and direct resources where barriers are rising.</w:t>
      </w:r>
      <w:r/>
    </w:p>
    <w:p>
      <w:pPr>
        <w:pStyle w:val="ListBullet"/>
        <w:spacing w:line="240" w:lineRule="auto"/>
        <w:ind w:left="720"/>
      </w:pPr>
      <w:r/>
      <w:r>
        <w:rPr>
          <w:b/>
        </w:rPr>
        <w:t>Practical focus:</w:t>
      </w:r>
      <w:r>
        <w:t xml:space="preserve"> The effort encourages providers, legal advocates, funders and community groups to add their names and expertise.</w:t>
      </w:r>
      <w:r/>
    </w:p>
    <w:p>
      <w:pPr>
        <w:pStyle w:val="ListBullet"/>
        <w:spacing w:line="240" w:lineRule="auto"/>
        <w:ind w:left="720"/>
      </w:pPr>
      <w:r/>
      <w:r>
        <w:rPr>
          <w:b/>
        </w:rPr>
        <w:t>Patient reassurance:</w:t>
      </w:r>
      <w:r>
        <w:t xml:space="preserve"> The message is explicitly aimed at patients and families: the community is responding and pathways to care will be defended.</w:t>
      </w:r>
      <w:r/>
      <w:r/>
    </w:p>
    <w:p>
      <w:pPr>
        <w:pStyle w:val="Heading2"/>
      </w:pPr>
      <w:r>
        <w:t>Why this coalition matters now , a quick, human reason</w:t>
      </w:r>
      <w:r/>
    </w:p>
    <w:p>
      <w:r/>
      <w:r>
        <w:t>Health care access often feels like a quiet thing until it isn’t; then it becomes urgent and emotional, especially for people seeking gender-affirming or otherwise evidence-based services. Fenway Health joining this coalition signals that a trusted local provider is leaning into collective action rather than trying to carry the load alone. It’s a calm, practical reassurance: the community will move together to keep doors open and appointments available.</w:t>
      </w:r>
      <w:r/>
    </w:p>
    <w:p>
      <w:pPr>
        <w:pStyle w:val="Heading2"/>
      </w:pPr>
      <w:r>
        <w:t>What the joint statement actually promises , more than words</w:t>
      </w:r>
      <w:r/>
    </w:p>
    <w:p>
      <w:r/>
      <w:r>
        <w:t>The signed statement is explicit: protecting established, research-backed care requires coordinated action across providers, advocates, funders, legal teams and communities. That’s not just rhetoric , it’s an operational blueprint. According to Fenway Health’s own materials, that means sharing resources, expanding capacity and creating redundant pathways so patients don’t lose access just because one clinic faces a legal or financial squeeze.</w:t>
      </w:r>
      <w:r/>
    </w:p>
    <w:p>
      <w:pPr>
        <w:pStyle w:val="Heading2"/>
      </w:pPr>
      <w:r>
        <w:t>How this affects patients on the ground , practical implications</w:t>
      </w:r>
      <w:r/>
    </w:p>
    <w:p>
      <w:r/>
      <w:r>
        <w:t>For someone booking an appointment, the coalition’s work should translate into real-world fixes: more referral routes, provider lists that are kept current, and legal partnerships ready to defend access where it’s threatened. If you’re a patient, the practical takeaway is to keep open lines with your clinic, sign up for waitlist notifications and ask if there are partner providers nearby who can step in quickly.</w:t>
      </w:r>
      <w:r/>
    </w:p>
    <w:p>
      <w:pPr>
        <w:pStyle w:val="Heading2"/>
      </w:pPr>
      <w:r>
        <w:t>What providers and advocates are being asked to do</w:t>
      </w:r>
      <w:r/>
    </w:p>
    <w:p>
      <w:r/>
      <w:r>
        <w:t>The statement invites more groups to join , from community health centres to faith communities and funders. That matters because diversified support reduces single points of failure: a clinic might lose a grant or face litigation, but a networked system can re-route patients and share clinical expertise. Providers can help by documenting care pathways, connecting with legal advocates and sharing capacity information openly.</w:t>
      </w:r>
      <w:r/>
    </w:p>
    <w:p>
      <w:pPr>
        <w:pStyle w:val="Heading2"/>
      </w:pPr>
      <w:r>
        <w:t>How to judge whether a clinic is prepared , quick checklist</w:t>
      </w:r>
      <w:r/>
    </w:p>
    <w:p>
      <w:r/>
      <w:r>
        <w:t>Look for clear public commitments to evidence-based care, partnerships with legal or advocacy organisations, and practical resources like patient navigation or referral systems. Fenway Health’s FAQs and strategic planning documents show those are the kinds of things that help a clinic stay resilient. If a centre publishes a plan for maintaining services during disruptions, that’s a strong sign they’ve thought this through.</w:t>
      </w:r>
      <w:r/>
    </w:p>
    <w:p>
      <w:r/>
      <w:r>
        <w:t>It's a small change that can make every appointment feel a bit more secure.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[5]</w:t>
        </w:r>
      </w:hyperlink>
      <w:r>
        <w:t xml:space="preserve">, </w:t>
      </w:r>
      <w:hyperlink r:id="rId13">
        <w:r>
          <w:rPr>
            <w:color w:val="0000EE"/>
            <w:u w:val="single"/>
          </w:rPr>
          <w:t>[6]</w:t>
        </w:r>
      </w:hyperlink>
      <w:r>
        <w:t xml:space="preserve">- Paragraph 3: </w:t>
      </w:r>
      <w:hyperlink r:id="rId10">
        <w:r>
          <w:rPr>
            <w:color w:val="0000EE"/>
            <w:u w:val="single"/>
          </w:rPr>
          <w:t>[2]</w:t>
        </w:r>
      </w:hyperlink>
      <w:r>
        <w:t xml:space="preserve">, </w:t>
      </w:r>
      <w:hyperlink r:id="rId12">
        <w:r>
          <w:rPr>
            <w:color w:val="0000EE"/>
            <w:u w:val="single"/>
          </w:rPr>
          <w:t>[5]</w:t>
        </w:r>
      </w:hyperlink>
      <w:r>
        <w:t xml:space="preserve">- Paragraph 4: </w:t>
      </w:r>
      <w:hyperlink r:id="rId10">
        <w:r>
          <w:rPr>
            <w:color w:val="0000EE"/>
            <w:u w:val="single"/>
          </w:rPr>
          <w:t>[2]</w:t>
        </w:r>
      </w:hyperlink>
      <w:r>
        <w:t xml:space="preserve">, </w:t>
      </w:r>
      <w:hyperlink r:id="rId12">
        <w:r>
          <w:rPr>
            <w:color w:val="0000EE"/>
            <w:u w:val="single"/>
          </w:rPr>
          <w:t>[5]</w:t>
        </w:r>
      </w:hyperlink>
      <w:r>
        <w:t xml:space="preserve">- Paragraph 5: </w:t>
      </w:r>
      <w:hyperlink r:id="rId10">
        <w:r>
          <w:rPr>
            <w:color w:val="0000EE"/>
            <w:u w:val="single"/>
          </w:rPr>
          <w:t>[2]</w:t>
        </w:r>
      </w:hyperlink>
      <w:r>
        <w:t xml:space="preserve">, </w:t>
      </w:r>
      <w:hyperlink r:id="rId14">
        <w:r>
          <w:rPr>
            <w:color w:val="0000EE"/>
            <w:u w:val="single"/>
          </w:rPr>
          <w:t>[3]</w:t>
        </w:r>
      </w:hyperlink>
      <w:r>
        <w:t xml:space="preserve">- Paragraph 6: </w:t>
      </w:r>
      <w:hyperlink r:id="rId12">
        <w:r>
          <w:rPr>
            <w:color w:val="0000EE"/>
            <w:u w:val="single"/>
          </w:rPr>
          <w:t>[5]</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https://bostonspiritmagazine.com/2026/07/fenway-health-joins-coalition-reaffirming-commitment-to-research-backed-care/?utm_source=rss&amp;utm_medium=rss&amp;utm_campaign=fenway-health-joins-coalition-reaffirming-commitment-to-research-backed-care</w:t>
        </w:r>
      </w:hyperlink>
      <w:r>
        <w:t xml:space="preserve"> - Please view link - unable to able to access data</w:t>
      </w:r>
      <w:r/>
    </w:p>
    <w:p>
      <w:pPr>
        <w:pStyle w:val="ListNumber"/>
        <w:spacing w:line="240" w:lineRule="auto"/>
        <w:ind w:left="720"/>
      </w:pPr>
      <w:r/>
      <w:hyperlink r:id="rId10">
        <w:r>
          <w:rPr>
            <w:color w:val="0000EE"/>
            <w:u w:val="single"/>
          </w:rPr>
          <w:t>https://fenwayhealth.org/protecting-access-to-established-research-backed-healthcare/</w:t>
        </w:r>
      </w:hyperlink>
      <w:r>
        <w:t xml:space="preserve"> - Fenway Health, a Boston-based community health centre, has joined over 35 organisations, including GLAD Law, HRC, and Planned Parenthood, in issuing a unified statement reaffirming their commitment to protecting access to established, research-backed healthcare. The statement emphasises that safeguarding access to care is a shared responsibility across providers, advocates, legal organisations, funders, and communities. It highlights the need for coordinated action to ensure that patients and families continue to have pathways to the care they deserve, even as the healthcare landscape evolves. The coalition invites various stakeholders to join in this effort to maintain resilient systems of care.</w:t>
      </w:r>
      <w:r/>
    </w:p>
    <w:p>
      <w:pPr>
        <w:pStyle w:val="ListNumber"/>
        <w:spacing w:line="240" w:lineRule="auto"/>
        <w:ind w:left="720"/>
      </w:pPr>
      <w:r/>
      <w:hyperlink r:id="rId14">
        <w:r>
          <w:rPr>
            <w:color w:val="0000EE"/>
            <w:u w:val="single"/>
          </w:rPr>
          <w:t>https://fenwayhealth.org/about/</w:t>
        </w:r>
      </w:hyperlink>
      <w:r>
        <w:t xml:space="preserve"> - Fenway Health, established in 1971, is a non-profit community health centre based in Boston, Massachusetts. Founded by Northeastern University students, the organisation focuses on providing healthcare, research, and advocacy services to the LGBTQIA+ community, individuals living with HIV/AIDS, and the broader population. Over the years, Fenway Health has expanded its services and facilities, including the launch of The Fenway Institute in 2001, an interdisciplinary centre for research, training, education, and policy development focusing on health issues related to LGBTQIA+ communities.</w:t>
      </w:r>
      <w:r/>
    </w:p>
    <w:p>
      <w:pPr>
        <w:pStyle w:val="ListNumber"/>
        <w:spacing w:line="240" w:lineRule="auto"/>
        <w:ind w:left="720"/>
      </w:pPr>
      <w:r/>
      <w:hyperlink r:id="rId11">
        <w:r>
          <w:rPr>
            <w:color w:val="0000EE"/>
            <w:u w:val="single"/>
          </w:rPr>
          <w:t>https://fenwayhealth.org/fenway-health-successfully-renews-patient-centered-medical-home-recognition-and-distinction-in-behavioral-health-integration/</w:t>
        </w:r>
      </w:hyperlink>
      <w:r>
        <w:t xml:space="preserve"> - Fenway Health has successfully renewed its National Committee for Quality Assurance (NCQA) Patient-Centered Medical Home (PCMH) Recognition for its location at 1340 Boylston Street in Boston, as well as its Distinction in Behavioral Health Integration. The PCMH program assesses whether clinician practices are functioning as medical homes and recognises them for these efforts. The Distinction in Behavioral Health Integration acknowledges practices that provide integrated behavioural healthcare as part of a patient-centred medical home, ensuring comprehensive care for patients with behavioural health conditions.</w:t>
      </w:r>
      <w:r/>
    </w:p>
    <w:p>
      <w:pPr>
        <w:pStyle w:val="ListNumber"/>
        <w:spacing w:line="240" w:lineRule="auto"/>
        <w:ind w:left="720"/>
      </w:pPr>
      <w:r/>
      <w:hyperlink r:id="rId12">
        <w:r>
          <w:rPr>
            <w:color w:val="0000EE"/>
            <w:u w:val="single"/>
          </w:rPr>
          <w:t>https://fenwayhealth.org/wp-content/uploads/2025/06/Commitment-to-Gender-Afirming-Care-FAQs-4-2025.pdf</w:t>
        </w:r>
      </w:hyperlink>
      <w:r>
        <w:t xml:space="preserve"> - Fenway Health has reaffirmed its commitment to providing uninterrupted gender-affirming care for both youth and adults, despite potential challenges posed by changing federal policies. The organisation has stated that it has no intention of discontinuing gender-affirming care or other services and is actively working at community, state, and federal levels to anticipate and prevent any disruptions in services. Fenway Health aims to ensure that patients continue to receive the care they need and deserve, regardless of potential policy changes.</w:t>
      </w:r>
      <w:r/>
    </w:p>
    <w:p>
      <w:pPr>
        <w:pStyle w:val="ListNumber"/>
        <w:spacing w:line="240" w:lineRule="auto"/>
        <w:ind w:left="720"/>
      </w:pPr>
      <w:r/>
      <w:hyperlink r:id="rId13">
        <w:r>
          <w:rPr>
            <w:color w:val="0000EE"/>
            <w:u w:val="single"/>
          </w:rPr>
          <w:t>https://fenwayhealth.org/fenway-health-announces-five-year-strategic-plan-anchored-by-racial-equity-action-plan/</w:t>
        </w:r>
      </w:hyperlink>
      <w:r>
        <w:t xml:space="preserve"> - Fenway Health has announced a five-year strategic plan centred around a Racial Equity Action Plan. The plan includes four key priorities: centring racial equity and social justice in operations, care, and services; expanding service to local communities while supporting LGBTQIA+ communities nationwide; achieving greater impact by aligning and integrating core services; and adopting a new mission statement and core values. The Racial Equity Action Plan consists of eight sections with measurable goals to track progress, aiming to transform Fenway Health into an antiracist organisation and better serve BIPOC communities.</w:t>
      </w:r>
      <w:r/>
    </w:p>
    <w:p>
      <w:pPr>
        <w:pStyle w:val="ListNumber"/>
        <w:spacing w:line="240" w:lineRule="auto"/>
        <w:ind w:left="720"/>
      </w:pPr>
      <w:r/>
      <w:hyperlink r:id="rId15">
        <w:r>
          <w:rPr>
            <w:color w:val="0000EE"/>
            <w:u w:val="single"/>
          </w:rPr>
          <w:t>https://www.linkedin.com/company/fenwayhealth</w:t>
        </w:r>
      </w:hyperlink>
      <w:r>
        <w:t xml:space="preserve"> - Fenway Health's LinkedIn page provides updates and information about the organisation's activities and initiatives. A recent post highlights the importance of partnerships in maintaining access to established, research-backed healthcare, including transgender healthcare. The post emphasises that safeguarding access to care is a shared responsibility across providers, health centres, advocacy organisations, legal experts, funders, and communities. It invites healthcare leaders, community organisations, and partners to read the coalition statement and consider how to build resilient systems of care together.</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bostonspiritmagazine.com/2026/07/fenway-health-joins-coalition-reaffirming-commitment-to-research-backed-care/?utm_source=rss&amp;utm_medium=rss&amp;utm_campaign=fenway-health-joins-coalition-reaffirming-commitment-to-research-backed-care" TargetMode="External"/><Relationship Id="rId10" Type="http://schemas.openxmlformats.org/officeDocument/2006/relationships/hyperlink" Target="https://fenwayhealth.org/protecting-access-to-established-research-backed-healthcare/" TargetMode="External"/><Relationship Id="rId11" Type="http://schemas.openxmlformats.org/officeDocument/2006/relationships/hyperlink" Target="https://fenwayhealth.org/fenway-health-successfully-renews-patient-centered-medical-home-recognition-and-distinction-in-behavioral-health-integration/" TargetMode="External"/><Relationship Id="rId12" Type="http://schemas.openxmlformats.org/officeDocument/2006/relationships/hyperlink" Target="https://fenwayhealth.org/wp-content/uploads/2025/06/Commitment-to-Gender-Afirming-Care-FAQs-4-2025.pdf" TargetMode="External"/><Relationship Id="rId13" Type="http://schemas.openxmlformats.org/officeDocument/2006/relationships/hyperlink" Target="https://fenwayhealth.org/fenway-health-announces-five-year-strategic-plan-anchored-by-racial-equity-action-plan/" TargetMode="External"/><Relationship Id="rId14" Type="http://schemas.openxmlformats.org/officeDocument/2006/relationships/hyperlink" Target="https://fenwayhealth.org/about/" TargetMode="External"/><Relationship Id="rId15" Type="http://schemas.openxmlformats.org/officeDocument/2006/relationships/hyperlink" Target="https://www.linkedin.com/company/fenwayhealt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