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Bureaucracy Blocks Queer Rights in Nigeria — and What Comes Next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Shocking though it sounds, court victories can be hollow: Nigerian queer activists won a High Court judgment striking parts of the Same‑Sex Marriage (Prohibition) Act, but registrars, banks, police and landlords often refuse to implement it , a reminder that rights live or die in offices, forms and everyday interactions.</w:t>
      </w:r>
      <w:r/>
    </w:p>
    <w:p>
      <w:r/>
      <w:r>
        <w:t>Essential Takeaways</w:t>
      </w:r>
      <w:r/>
      <w:r/>
    </w:p>
    <w:p>
      <w:pPr>
        <w:pStyle w:val="ListBullet"/>
        <w:spacing w:line="240" w:lineRule="auto"/>
        <w:ind w:left="720"/>
      </w:pPr>
      <w:r/>
      <w:r>
        <w:rPr>
          <w:b/>
        </w:rPr>
        <w:t>Court win, limited effect:</w:t>
      </w:r>
      <w:r>
        <w:t xml:space="preserve"> A Federal High Court ruling struck down parts of the 2013 Same‑Sex Marriage (Prohibition) Act, but administrative actors frequently ignore it, leaving activists exposed.</w:t>
      </w:r>
      <w:r/>
    </w:p>
    <w:p>
      <w:pPr>
        <w:pStyle w:val="ListBullet"/>
        <w:spacing w:line="240" w:lineRule="auto"/>
        <w:ind w:left="720"/>
      </w:pPr>
      <w:r/>
      <w:r>
        <w:rPr>
          <w:b/>
        </w:rPr>
        <w:t>Bureaucracy matters:</w:t>
      </w:r>
      <w:r>
        <w:t xml:space="preserve"> Registrars, banks, landlords and clinics use forms and compliance checks to deny services, making the law’s effects persist even without prosecutions.</w:t>
      </w:r>
      <w:r/>
    </w:p>
    <w:p>
      <w:pPr>
        <w:pStyle w:val="ListBullet"/>
        <w:spacing w:line="240" w:lineRule="auto"/>
        <w:ind w:left="720"/>
      </w:pPr>
      <w:r/>
      <w:r>
        <w:rPr>
          <w:b/>
        </w:rPr>
        <w:t>Survival strategies:</w:t>
      </w:r>
      <w:r>
        <w:t xml:space="preserve"> NGOs rebrand or use coded language , “marginalised groups” or “health” , to register and bank, which protects staff but can erase specific needs.</w:t>
      </w:r>
      <w:r/>
    </w:p>
    <w:p>
      <w:pPr>
        <w:pStyle w:val="ListBullet"/>
        <w:spacing w:line="240" w:lineRule="auto"/>
        <w:ind w:left="720"/>
      </w:pPr>
      <w:r/>
      <w:r>
        <w:rPr>
          <w:b/>
        </w:rPr>
        <w:t>Regional pattern:</w:t>
      </w:r>
      <w:r>
        <w:t xml:space="preserve"> Similar dynamics appear across Ghana, Uganda and Senegal, where administrative controls constrain advocacy and service delivery.</w:t>
      </w:r>
      <w:r/>
    </w:p>
    <w:p>
      <w:pPr>
        <w:pStyle w:val="ListBullet"/>
        <w:spacing w:line="240" w:lineRule="auto"/>
        <w:ind w:left="720"/>
      </w:pPr>
      <w:r/>
      <w:r>
        <w:rPr>
          <w:b/>
        </w:rPr>
        <w:t>Infrastructure gap:</w:t>
      </w:r>
      <w:r>
        <w:t xml:space="preserve"> Rights require organisations, lawyers and shelters to be effective , without funding and monitoring, a legal right is only words on a page.</w:t>
      </w:r>
      <w:r/>
      <w:r/>
    </w:p>
    <w:p>
      <w:pPr>
        <w:pStyle w:val="Heading2"/>
      </w:pPr>
      <w:r>
        <w:t>A courtroom headline that felt like a whisper to most people</w:t>
      </w:r>
      <w:r/>
    </w:p>
    <w:p>
      <w:r/>
      <w:r>
        <w:t>The 2022 Federal High Court decision in Lagos was hailed by many as a breakthrough, but the relief was muted and often invisible. According to legal observers and activists, the ruling did not automatically change how banks process accounts, how registrars accept NGO applications, or how landlords react to tenants , those day‑to‑day gatekeepers kept the old rules alive. Reports from country guidance and NGO interviews describe the judgment as "a victory on paper", because the people most affected still face the same bureaucratic refusals and social risks.</w:t>
      </w:r>
      <w:r/>
    </w:p>
    <w:p>
      <w:r/>
      <w:r>
        <w:t>The reality shows that litigation is only one tool. It may open a legal door, but without administrative uptake, most people never get through. This disconnect matters because it determines whether a legal right is usable, not merely declaratory.</w:t>
      </w:r>
      <w:r/>
    </w:p>
    <w:p>
      <w:pPr>
        <w:pStyle w:val="Heading2"/>
      </w:pPr>
      <w:r>
        <w:t>How forms, offices and compliance checks became instruments of exclusion</w:t>
      </w:r>
      <w:r/>
    </w:p>
    <w:p>
      <w:r/>
      <w:r>
        <w:t>Laws that criminalise or stigmatise create a cascade of administrative consequences. When a statute frames LGBT life as illicit or dangerous, it trains front‑line staff to be wary. Registrars ask uncomfortable questions, banks flag accounts, and landlords see risk in paperwork. Human Rights Watch and policy notes highlight that the SSMPA did more than threaten prosecutions: it reshaped the infrastructure of queer organising by making everyday transactions fraught.</w:t>
      </w:r>
      <w:r/>
    </w:p>
    <w:p>
      <w:r/>
      <w:r>
        <w:t>So activists adapt. Some organisations change their stated objectives, emphasise health or “key populations”, and lean on sympathetic lawyers to navigate corporate registration. That buys safety but often comes at a cost: specific needs and identities can be obscured, and smaller groups with less funding are left more exposed.</w:t>
      </w:r>
      <w:r/>
    </w:p>
    <w:p>
      <w:pPr>
        <w:pStyle w:val="Heading2"/>
      </w:pPr>
      <w:r>
        <w:t>Different institutions, different strategies , the many‑headed state</w:t>
      </w:r>
      <w:r/>
    </w:p>
    <w:p>
      <w:r/>
      <w:r>
        <w:t>The Nigerian state acts through many institutions, each requiring a particular response. The police operate with one logic, the Corporate Affairs Commission another, and banks follow compliance regimes that respond to perceived reputational or legal risk. That “hydra” means a win in one arena , a court judgment, for example , can have little effect in another.</w:t>
      </w:r>
      <w:r/>
    </w:p>
    <w:p>
      <w:r/>
      <w:r>
        <w:t>Practical advice for organisers is blunt and pragmatic: choose names and objectives with care, match legal strategies to funding realities, and map which offices control which resources. Larger, well‑resourced bodies can afford visibility; smaller grassroots groups often have to stay coded or risk shutdown.</w:t>
      </w:r>
      <w:r/>
    </w:p>
    <w:p>
      <w:pPr>
        <w:pStyle w:val="Heading2"/>
      </w:pPr>
      <w:r>
        <w:t>This isn’t just Nigeria , look at the region’s administrative playbook</w:t>
      </w:r>
      <w:r/>
    </w:p>
    <w:p>
      <w:r/>
      <w:r>
        <w:t>The administrative erosion of rights is visible beyond Nigeria. Reports and country notes from Ghana, Uganda and Senegal show similar patterns where laws curtail not only personal acts but advocacy, funding and communication. Even in countries with progressive judgments , Botswana’s decriminalisation or Namibia’s recognition of foreign same‑sex marriages , the test is whether registries, immigration officials, banks and clinics treat recognition as real.</w:t>
      </w:r>
      <w:r/>
    </w:p>
    <w:p>
      <w:r/>
      <w:r>
        <w:t>Policy guidance from government and international bodies stresses that implementation is everything. Kenya’s fights over documents and gender markers are a good example: when bureaucracies change their forms and procedures, people actually feel less humiliated and excluded.</w:t>
      </w:r>
      <w:r/>
    </w:p>
    <w:p>
      <w:pPr>
        <w:pStyle w:val="Heading2"/>
      </w:pPr>
      <w:r>
        <w:t>Why infrastructure , lawyers, shelters, monitors , decides whether rights bite</w:t>
      </w:r>
      <w:r/>
    </w:p>
    <w:p>
      <w:r/>
      <w:r>
        <w:t>A legal victory needs plumbing. NGOs that monitor violations, pay lawyers, run shelters and respond to arrests turn abstract rights into lived protection. When funding dries up, rights hollow out quickly: projects end, staff are laid off, and international attention wanes, making repression cheaper for authorities.</w:t>
      </w:r>
      <w:r/>
    </w:p>
    <w:p>
      <w:r/>
      <w:r>
        <w:t>For donors and allies in the Global North, this is a call to think beyond headline rulings. Funding stability, legal aid, and support for administrative change , training registry staff, nudging banks, strengthening human rights commissions , are the interventions that make a difference on the ground.</w:t>
      </w:r>
      <w:r/>
    </w:p>
    <w:p>
      <w:pPr>
        <w:pStyle w:val="Heading2"/>
      </w:pPr>
      <w:r>
        <w:t>Where does this leave activists and allies?</w:t>
      </w:r>
      <w:r/>
    </w:p>
    <w:p>
      <w:r/>
      <w:r>
        <w:t>The lesson is both sobering and practical. Courts matter, but so do the people who sit behind desks. Activists will keep litigating, but they’ll also keep investing in stealthy registration tactics, health‑framed work, and building practical infrastructure to keep services running. Meanwhile, donors and policymakers should read jurisdictional wins with a critical eye and support the administrative reforms and monitoring that turn paper victories into daily safety.</w:t>
      </w:r>
      <w:r/>
    </w:p>
    <w:p>
      <w:r/>
      <w:r>
        <w:t>It's a small change in everyday systems that will make every right feel real in people’s lives.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[6]</w:t>
        </w:r>
      </w:hyperlink>
      <w:r>
        <w:t xml:space="preserve">- Paragraph 2: </w:t>
      </w:r>
      <w:hyperlink r:id="rId12">
        <w:r>
          <w:rPr>
            <w:color w:val="0000EE"/>
            <w:u w:val="single"/>
          </w:rPr>
          <w:t>[2]</w:t>
        </w:r>
      </w:hyperlink>
      <w:r>
        <w:t xml:space="preserve">, </w:t>
      </w:r>
      <w:hyperlink r:id="rId11">
        <w:r>
          <w:rPr>
            <w:color w:val="0000EE"/>
            <w:u w:val="single"/>
          </w:rPr>
          <w:t>[6]</w:t>
        </w:r>
      </w:hyperlink>
      <w:r>
        <w:t xml:space="preserve">- Paragraph 3: </w:t>
      </w:r>
      <w:hyperlink r:id="rId11">
        <w:r>
          <w:rPr>
            <w:color w:val="0000EE"/>
            <w:u w:val="single"/>
          </w:rPr>
          <w:t>[6]</w:t>
        </w:r>
      </w:hyperlink>
      <w:r>
        <w:t xml:space="preserve">, </w:t>
      </w:r>
      <w:hyperlink r:id="rId13">
        <w:r>
          <w:rPr>
            <w:color w:val="0000EE"/>
            <w:u w:val="single"/>
          </w:rPr>
          <w:t>[5]</w:t>
        </w:r>
      </w:hyperlink>
      <w:r>
        <w:t xml:space="preserve">- Paragraph 4: </w:t>
      </w:r>
      <w:hyperlink r:id="rId14">
        <w:r>
          <w:rPr>
            <w:color w:val="0000EE"/>
            <w:u w:val="single"/>
          </w:rPr>
          <w:t>[4]</w:t>
        </w:r>
      </w:hyperlink>
      <w:r>
        <w:t xml:space="preserve">, </w:t>
      </w:r>
      <w:hyperlink r:id="rId15">
        <w:r>
          <w:rPr>
            <w:color w:val="0000EE"/>
            <w:u w:val="single"/>
          </w:rPr>
          <w:t>[7]</w:t>
        </w:r>
      </w:hyperlink>
      <w:r>
        <w:t xml:space="preserve">- Paragraph 5: </w:t>
      </w:r>
      <w:hyperlink r:id="rId11">
        <w:r>
          <w:rPr>
            <w:color w:val="0000EE"/>
            <w:u w:val="single"/>
          </w:rPr>
          <w:t>[6]</w:t>
        </w:r>
      </w:hyperlink>
      <w:r>
        <w:t xml:space="preserve">, </w:t>
      </w:r>
      <w:hyperlink r:id="rId10">
        <w:r>
          <w:rPr>
            <w:color w:val="0000EE"/>
            <w:u w:val="single"/>
          </w:rPr>
          <w:t>[3]</w:t>
        </w:r>
      </w:hyperlink>
      <w:r>
        <w:t xml:space="preserve">- Paragraph 6: </w:t>
      </w:r>
      <w:hyperlink r:id="rId12">
        <w:r>
          <w:rPr>
            <w:color w:val="0000EE"/>
            <w:u w:val="single"/>
          </w:rPr>
          <w:t>[2]</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https://goodmenproject.com/featured-content/%F0%9F%8C%88-queer-rights-in-nigeria-the-bureaucracy-of-survival/</w:t>
        </w:r>
      </w:hyperlink>
      <w:r>
        <w:t xml:space="preserve"> - Please view link - unable to able to access data</w:t>
      </w:r>
      <w:r/>
    </w:p>
    <w:p>
      <w:pPr>
        <w:pStyle w:val="ListNumber"/>
        <w:spacing w:line="240" w:lineRule="auto"/>
        <w:ind w:left="720"/>
      </w:pPr>
      <w:r/>
      <w:hyperlink r:id="rId12">
        <w:r>
          <w:rPr>
            <w:color w:val="0000EE"/>
            <w:u w:val="single"/>
          </w:rPr>
          <w:t>https://www.icnl.org/research/library/nigeria_marriageact/</w:t>
        </w:r>
      </w:hyperlink>
      <w:r>
        <w:t xml:space="preserve"> - The International Center for Not-for-Profit Law provides a comprehensive overview of Nigeria's Same-Sex Marriage (Prohibition) Act, 2013. This Act prohibits same-sex marriages and civil unions, declaring them void and unenforceable in Nigeria. It also bans the registration of gay clubs, societies, and organizations, as well as public displays of same-sex amorous relationships. The Act imposes severe penalties, including up to 14 years imprisonment for entering into a same-sex marriage or civil union, and up to 10 years for participating in or supporting gay organizations or public displays of same-sex relationships.</w:t>
      </w:r>
      <w:r/>
    </w:p>
    <w:p>
      <w:pPr>
        <w:pStyle w:val="ListNumber"/>
        <w:spacing w:line="240" w:lineRule="auto"/>
        <w:ind w:left="720"/>
      </w:pPr>
      <w:r/>
      <w:hyperlink r:id="rId10">
        <w:r>
          <w:rPr>
            <w:color w:val="0000EE"/>
            <w:u w:val="single"/>
          </w:rPr>
          <w:t>https://www.gov.uk/government/publications/nigeria-country-policy-and-information-notes/country-policy-and-information-note-sexual-orientation-gender-identity-and-expression-and-sex-characteristics-nigeria-june-2025-accessible</w:t>
        </w:r>
      </w:hyperlink>
      <w:r>
        <w:t xml:space="preserve"> - The UK Government's Country Policy and Information Note provides detailed information on the Same-Sex Marriage (Prohibition) Act (SSMPA) in Nigeria. Enacted in 2014, the SSMPA prohibits same-sex marriages and civil unions, declaring them void and unenforceable. It also bans the registration of gay clubs, societies, and organizations, as well as public displays of same-sex amorous relationships. The Act imposes penalties, including imprisonment, for engaging in these activities. The document offers insights into the legal framework and its implications for LGBTQ+ individuals in Nigeria.</w:t>
      </w:r>
      <w:r/>
    </w:p>
    <w:p>
      <w:pPr>
        <w:pStyle w:val="ListNumber"/>
        <w:spacing w:line="240" w:lineRule="auto"/>
        <w:ind w:left="720"/>
      </w:pPr>
      <w:r/>
      <w:hyperlink r:id="rId14">
        <w:r>
          <w:rPr>
            <w:color w:val="0000EE"/>
            <w:u w:val="single"/>
          </w:rPr>
          <w:t>https://legalclarity.org/lgbtq-rights-in-nigeria-laws-bans-and-restrictions/</w:t>
        </w:r>
      </w:hyperlink>
      <w:r>
        <w:t xml:space="preserve"> - LegalClarity provides an overview of the legal landscape for LGBTQ+ rights in Nigeria, highlighting the criminalization of same-sex relationships under various legal frameworks. The Same-Sex Marriage (Prohibition) Act of 2013 is central to these restrictions, banning same-sex marriages and civil unions with penalties up to 14 years in prison. The article also notes that older criminal statutes inherited from the colonial era separately punish same-sex sexual conduct. Additionally, twelve northern states have Sharia penal codes that can impose the death penalty for same-sex conduct, and there are no laws protecting against discrimination based on sexual orientation or gender identity.</w:t>
      </w:r>
      <w:r/>
    </w:p>
    <w:p>
      <w:pPr>
        <w:pStyle w:val="ListNumber"/>
        <w:spacing w:line="240" w:lineRule="auto"/>
        <w:ind w:left="720"/>
      </w:pPr>
      <w:r/>
      <w:hyperlink r:id="rId13">
        <w:r>
          <w:rPr>
            <w:color w:val="0000EE"/>
            <w:u w:val="single"/>
          </w:rPr>
          <w:t>https://en.wikisource.org/wiki/Same_Sex_Marriage_%28Prohibition%29_Act%2C_2013</w:t>
        </w:r>
      </w:hyperlink>
      <w:r>
        <w:t xml:space="preserve"> - Wikisource provides the full text of Nigeria's Same-Sex Marriage (Prohibition) Act, 2013. The Act prohibits same-sex marriages and civil unions, declaring them void and unenforceable in Nigeria. It also bans the registration of gay clubs, societies, and organizations, as well as public displays of same-sex amorous relationships. The Act imposes penalties, including up to 14 years imprisonment for entering into a same-sex marriage or civil union, and up to 10 years for participating in or supporting gay organizations or public displays of same-sex relationships.</w:t>
      </w:r>
      <w:r/>
    </w:p>
    <w:p>
      <w:pPr>
        <w:pStyle w:val="ListNumber"/>
        <w:spacing w:line="240" w:lineRule="auto"/>
        <w:ind w:left="720"/>
      </w:pPr>
      <w:r/>
      <w:hyperlink r:id="rId11">
        <w:r>
          <w:rPr>
            <w:color w:val="0000EE"/>
            <w:u w:val="single"/>
          </w:rPr>
          <w:t>https://www.humandignitytrust.org/resources/briefing-on-the-nigerian-same-sex-marriage-prohibition-act-2013/</w:t>
        </w:r>
      </w:hyperlink>
      <w:r>
        <w:t xml:space="preserve"> - The Human Dignity Trust offers a briefing on Nigeria's Same-Sex Marriage (Prohibition) Act, 2013, examining how the Act contravenes Nigeria’s Constitution and international obligations. The briefing highlights that the Act prohibits same-sex marriages and civil unions, bans the registration of gay clubs, societies, and organizations, and imposes penalties for engaging in these activities. It also discusses the implications of the Act on civil society supporting LGBTQ+ rights, particularly those providing healthcare services against HIV/AIDS and other diseases.</w:t>
      </w:r>
      <w:r/>
    </w:p>
    <w:p>
      <w:pPr>
        <w:pStyle w:val="ListNumber"/>
        <w:spacing w:line="240" w:lineRule="auto"/>
        <w:ind w:left="720"/>
      </w:pPr>
      <w:r/>
      <w:hyperlink r:id="rId15">
        <w:r>
          <w:rPr>
            <w:color w:val="0000EE"/>
            <w:u w:val="single"/>
          </w:rPr>
          <w:t>https://irb.gc.ca/en/country-information/rir/Pages/index.aspx?doc=456219&amp;pls=1</w:t>
        </w:r>
      </w:hyperlink>
      <w:r>
        <w:t xml:space="preserve"> - The Immigration and Refugee Board of Canada provides information on Nigeria's Same-Sex Marriage (Prohibition) Act (SSMPA), enacted in January 2014. The SSMPA penalizes forms of activity advocating LGBTQ+ rights, including same-sex marriages and civil unions, with penalties up to 14 years imprisonment. The Act also prohibits the registration of gay clubs, societies, and organizations, as well as public displays of same-sex amorous relationships. The document offers insights into the legal framework and its implications for LGBTQ+ individuals in Nigeria.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oodmenproject.com/featured-content/%F0%9F%8C%88-queer-rights-in-nigeria-the-bureaucracy-of-survival/" TargetMode="External"/><Relationship Id="rId10" Type="http://schemas.openxmlformats.org/officeDocument/2006/relationships/hyperlink" Target="https://www.gov.uk/government/publications/nigeria-country-policy-and-information-notes/country-policy-and-information-note-sexual-orientation-gender-identity-and-expression-and-sex-characteristics-nigeria-june-2025-accessible" TargetMode="External"/><Relationship Id="rId11" Type="http://schemas.openxmlformats.org/officeDocument/2006/relationships/hyperlink" Target="https://www.humandignitytrust.org/resources/briefing-on-the-nigerian-same-sex-marriage-prohibition-act-2013/" TargetMode="External"/><Relationship Id="rId12" Type="http://schemas.openxmlformats.org/officeDocument/2006/relationships/hyperlink" Target="https://www.icnl.org/research/library/nigeria_marriageact/" TargetMode="External"/><Relationship Id="rId13" Type="http://schemas.openxmlformats.org/officeDocument/2006/relationships/hyperlink" Target="https://en.wikisource.org/wiki/Same_Sex_Marriage_%28Prohibition%29_Act%2C_2013" TargetMode="External"/><Relationship Id="rId14" Type="http://schemas.openxmlformats.org/officeDocument/2006/relationships/hyperlink" Target="https://legalclarity.org/lgbtq-rights-in-nigeria-laws-bans-and-restrictions/" TargetMode="External"/><Relationship Id="rId15" Type="http://schemas.openxmlformats.org/officeDocument/2006/relationships/hyperlink" Target="https://irb.gc.ca/en/country-information/rir/Pages/index.aspx?doc=456219&amp;pls=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