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 to LGBTIQ+ Divorce in the Netherlands: What to Check First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 an early problem and you’ll save stress later , many LGBTIQ+ couples in the Netherlands face extra legal twists around parenthood, international paperwork and family formation, so knowing what to check before you file can make a big practical difference.</w:t>
      </w:r>
      <w:r/>
    </w:p>
    <w:p>
      <w:r/>
      <w:r>
        <w:t>Essential Takeaways</w:t>
      </w:r>
      <w:r/>
      <w:r/>
    </w:p>
    <w:p>
      <w:pPr>
        <w:pStyle w:val="ListBullet"/>
        <w:spacing w:line="240" w:lineRule="auto"/>
        <w:ind w:left="720"/>
      </w:pPr>
      <w:r/>
      <w:r>
        <w:rPr>
          <w:b/>
        </w:rPr>
        <w:t>Same legal framework:</w:t>
      </w:r>
      <w:r>
        <w:t xml:space="preserve"> Dutch divorce law applies equally, but factual complexities often make cases trickier. </w:t>
      </w:r>
      <w:r/>
    </w:p>
    <w:p>
      <w:pPr>
        <w:pStyle w:val="ListBullet"/>
        <w:spacing w:line="240" w:lineRule="auto"/>
        <w:ind w:left="720"/>
      </w:pPr>
      <w:r/>
      <w:r>
        <w:rPr>
          <w:b/>
        </w:rPr>
        <w:t>Parenthood matters:</w:t>
      </w:r>
      <w:r>
        <w:t xml:space="preserve"> Confirm who is the legal parent , birth, recognition or adoption all change custody and maintenance rights. </w:t>
      </w:r>
      <w:r/>
    </w:p>
    <w:p>
      <w:pPr>
        <w:pStyle w:val="ListBullet"/>
        <w:spacing w:line="240" w:lineRule="auto"/>
        <w:ind w:left="720"/>
      </w:pPr>
      <w:r/>
      <w:r>
        <w:rPr>
          <w:b/>
        </w:rPr>
        <w:t>International pitfalls:</w:t>
      </w:r>
      <w:r>
        <w:t xml:space="preserve"> Foreign surrogacy, registrations or assets can affect recognition, jurisdiction and financial splits. </w:t>
      </w:r>
      <w:r/>
    </w:p>
    <w:p>
      <w:pPr>
        <w:pStyle w:val="ListBullet"/>
        <w:spacing w:line="240" w:lineRule="auto"/>
        <w:ind w:left="720"/>
      </w:pPr>
      <w:r/>
      <w:r>
        <w:rPr>
          <w:b/>
        </w:rPr>
        <w:t>House and healthcare:</w:t>
      </w:r>
      <w:r>
        <w:t xml:space="preserve"> The family home, school ties and medical decision-making have emotional weight and legal impact. </w:t>
      </w:r>
      <w:r/>
    </w:p>
    <w:p>
      <w:pPr>
        <w:pStyle w:val="ListBullet"/>
        <w:spacing w:line="240" w:lineRule="auto"/>
        <w:ind w:left="720"/>
      </w:pPr>
      <w:r/>
      <w:r>
        <w:rPr>
          <w:b/>
        </w:rPr>
        <w:t>Act early:</w:t>
      </w:r>
      <w:r>
        <w:t xml:space="preserve"> Clarify descent, custody and cross-border documents sooner rather than later to avoid long court battles.</w:t>
      </w:r>
      <w:r/>
      <w:r/>
    </w:p>
    <w:p>
      <w:pPr>
        <w:pStyle w:val="Heading2"/>
      </w:pPr>
      <w:r>
        <w:t>Why the rulebook looks familiar but the case can feel different</w:t>
      </w:r>
      <w:r/>
    </w:p>
    <w:p>
      <w:r/>
      <w:r>
        <w:t>Dutch law treats divorce between same-sex or trans partners under the same statutory rules as any other split, so you’ll see the same topics: dissolution, division of property, maintenance and parenting plans. That sounds straightforward, and in many cases it is , the procedure for a joint petition versus a unilateral petition is unchanged. But the lived story behind many LGBTIQ+ relationships often involves donor conception, adoption, surrogacy or cross-border steps, and those background facts transform an otherwise routine file into something more delicate and legally intricate. In short: equality in principle, extra work in practice.</w:t>
      </w:r>
      <w:r/>
    </w:p>
    <w:p>
      <w:pPr>
        <w:pStyle w:val="Heading2"/>
      </w:pPr>
      <w:r>
        <w:t>Who counts as a parent , the legal test you can’t skip</w:t>
      </w:r>
      <w:r/>
    </w:p>
    <w:p>
      <w:r/>
      <w:r>
        <w:t>One of the first questions in any divorce with children is deceptively simple: who is the legal parent? For two mothers, the non-birth mother may or may not have automatic legal status depending on how parenthood was created at the time. For two fathers, recognition, adoption or a surrogacy route , sometimes arranged abroad , commonly underpins parental rights. Plenty of partners have acted as parents for years without the formal status to match, and that mismatch becomes painfully real at separation. Make it a priority to obtain and review birth certificates, recognition papers and adoption documents before any negotiation starts.</w:t>
      </w:r>
      <w:r/>
    </w:p>
    <w:p>
      <w:pPr>
        <w:pStyle w:val="Heading2"/>
      </w:pPr>
      <w:r>
        <w:t>Surrogacy and donor conception: paperwork, recognition and surprises</w:t>
      </w:r>
      <w:r/>
    </w:p>
    <w:p>
      <w:r/>
      <w:r>
        <w:t>Surrogacy and donor conception are where family-building choices meet hard law. Arrangements done abroad or under informal agreements may not produce the legal parenthood you assumed, and some countries’ certificates don’t translate neatly into Dutch legal status. That can affect custody, the right to be consulted about schooling and healthcare, and maintenance obligations. If you used a surrogate or donor, get specialist advice early and order any foreign court decisions or certificates , those documents will determine whether your parental position is secure or needs fixing.</w:t>
      </w:r>
      <w:r/>
    </w:p>
    <w:p>
      <w:pPr>
        <w:pStyle w:val="Heading2"/>
      </w:pPr>
      <w:r>
        <w:t>Cross-border complexity: assets, pensions and recognition</w:t>
      </w:r>
      <w:r/>
    </w:p>
    <w:p>
      <w:r/>
      <w:r>
        <w:t>If one partner has a different nationality, owns property overseas or you married abroad, you’ll need to map which courts and which laws could apply. A divorce decreed in the Netherlands might not be recognised elsewhere, and that has knock-on effects for foreign property, inheritance and pensions. Practical steps matter: identify foreign bank accounts, register copies of foreign judgments, and think ahead about whether a move abroad is on the cards. Getting jurisdiction and applicable law settled early reduces the risk of surprise litigation later.</w:t>
      </w:r>
      <w:r/>
    </w:p>
    <w:p>
      <w:pPr>
        <w:pStyle w:val="Heading2"/>
      </w:pPr>
      <w:r>
        <w:t>Money, the family home and unseen contributions</w:t>
      </w:r>
      <w:r/>
    </w:p>
    <w:p>
      <w:r/>
      <w:r>
        <w:t>On paper, division of assets and maintenance works the same as in any divorce, but facts matter. Contributions toward fertility treatment, travel for international family formation, or informal financial support can lead to contested claims when there’s no written record. The family home often has more than purely economic value , proximity to a school or a supportive community can be crucial for children. When negotiating, be ready to explain why those non-financial factors matter and to document expenses and contributions where possible.</w:t>
      </w:r>
      <w:r/>
    </w:p>
    <w:p>
      <w:pPr>
        <w:pStyle w:val="Heading2"/>
      </w:pPr>
      <w:r>
        <w:t>The social layer: emotion, community and safety</w:t>
      </w:r>
      <w:r/>
    </w:p>
    <w:p>
      <w:r/>
      <w:r>
        <w:t>A divorce is also a personal and social event. For many LGBTIQ+ people, separation can reopen wounds around acceptance, identity and belonging , and family members may react differently than they would in a heterosexual split. Concerns about safety, the child’s wider family network, or loyalty splits can shape what’s sensible legally and practically. A good legal strategy looks beyond statutes: it aims to de-escalate, protect children’s routines and preserve relationships where possible.</w:t>
      </w:r>
      <w:r/>
    </w:p>
    <w:p>
      <w:pPr>
        <w:pStyle w:val="Heading2"/>
      </w:pPr>
      <w:r>
        <w:t>Practical checklist before you file</w:t>
      </w:r>
      <w:r/>
    </w:p>
    <w:p>
      <w:r/>
      <w:r>
        <w:t>Start with these steps: confirm legal parenthood and custody, collect all foreign birth or adoption documents, list assets and debts at home and abroad, clarify your matrimonial property regime, and check whether your marriage or future divorce needs recognition elsewhere. If surrogacy or donor conception played a role, seek specialist help to confirm how those arrangements are treated under Dutch law. The sooner you have clarity, the fewer surprises and the better the chance of an efficient, less adversarial outcome.</w:t>
      </w:r>
      <w:r/>
    </w:p>
    <w:p>
      <w:r/>
      <w:r>
        <w:t>It's a small set of checks that can make every next step smoother and far less stressful.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[7]</w:t>
        </w:r>
      </w:hyperlink>
      <w:r>
        <w:t xml:space="preserve">, </w:t>
      </w:r>
      <w:hyperlink r:id="rId13">
        <w:r>
          <w:rPr>
            <w:color w:val="0000EE"/>
            <w:u w:val="single"/>
          </w:rPr>
          <w:t>[3]</w:t>
        </w:r>
      </w:hyperlink>
      <w:r>
        <w:t xml:space="preserve">- Paragraph 3: </w:t>
      </w:r>
      <w:hyperlink r:id="rId14">
        <w:r>
          <w:rPr>
            <w:color w:val="0000EE"/>
            <w:u w:val="single"/>
          </w:rPr>
          <w:t>[5]</w:t>
        </w:r>
      </w:hyperlink>
      <w:r>
        <w:t xml:space="preserve">, </w:t>
      </w:r>
      <w:hyperlink r:id="rId15">
        <w:r>
          <w:rPr>
            <w:color w:val="0000EE"/>
            <w:u w:val="single"/>
          </w:rPr>
          <w:t>[4]</w:t>
        </w:r>
      </w:hyperlink>
      <w:r>
        <w:t xml:space="preserve">- Paragraph 4: </w:t>
      </w:r>
      <w:hyperlink r:id="rId11">
        <w:r>
          <w:rPr>
            <w:color w:val="0000EE"/>
            <w:u w:val="single"/>
          </w:rPr>
          <w:t>[6]</w:t>
        </w:r>
      </w:hyperlink>
      <w:r>
        <w:t xml:space="preserve">, </w:t>
      </w:r>
      <w:hyperlink r:id="rId13">
        <w:r>
          <w:rPr>
            <w:color w:val="0000EE"/>
            <w:u w:val="single"/>
          </w:rPr>
          <w:t>[3]</w:t>
        </w:r>
      </w:hyperlink>
      <w:r>
        <w:t xml:space="preserve">- Paragraph 5: </w:t>
      </w:r>
      <w:hyperlink r:id="rId9">
        <w:r>
          <w:rPr>
            <w:color w:val="0000EE"/>
            <w:u w:val="single"/>
          </w:rPr>
          <w:t>[1]</w:t>
        </w:r>
      </w:hyperlink>
      <w:r>
        <w:t xml:space="preserve">, </w:t>
      </w:r>
      <w:hyperlink r:id="rId10">
        <w:r>
          <w:rPr>
            <w:color w:val="0000EE"/>
            <w:u w:val="single"/>
          </w:rPr>
          <w:t>[2]</w:t>
        </w:r>
      </w:hyperlink>
      <w:r>
        <w:t xml:space="preserve">- Paragraph 6: </w:t>
      </w:r>
      <w:hyperlink r:id="rId12">
        <w:r>
          <w:rPr>
            <w:color w:val="0000EE"/>
            <w:u w:val="single"/>
          </w:rPr>
          <w:t>[7]</w:t>
        </w:r>
      </w:hyperlink>
      <w:r>
        <w:t xml:space="preserve">, </w:t>
      </w:r>
      <w:hyperlink r:id="rId9">
        <w:r>
          <w:rPr>
            <w:color w:val="0000EE"/>
            <w:u w:val="single"/>
          </w:rPr>
          <w:t>[1]</w:t>
        </w:r>
      </w:hyperlink>
      <w:r>
        <w:t xml:space="preserve">- Paragraph 7: </w:t>
      </w:r>
      <w:hyperlink r:id="rId9">
        <w:r>
          <w:rPr>
            <w:color w:val="0000EE"/>
            <w:u w:val="single"/>
          </w:rPr>
          <w:t>[1]</w:t>
        </w:r>
      </w:hyperlink>
      <w:r>
        <w:t xml:space="preserve">, </w:t>
      </w:r>
      <w:hyperlink r:id="rId11">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https://lawandmore.eu/lgbtiq-divorce-what-you-need-to-know/</w:t>
        </w:r>
      </w:hyperlink>
      <w:r>
        <w:t xml:space="preserve"> - Please view link - unable to able to access data</w:t>
      </w:r>
      <w:r/>
    </w:p>
    <w:p>
      <w:pPr>
        <w:pStyle w:val="ListNumber"/>
        <w:spacing w:line="240" w:lineRule="auto"/>
        <w:ind w:left="720"/>
      </w:pPr>
      <w:r/>
      <w:hyperlink r:id="rId10">
        <w:r>
          <w:rPr>
            <w:color w:val="0000EE"/>
            <w:u w:val="single"/>
          </w:rPr>
          <w:t>https://www.government.nl/themes/family-health-and-care/surrogate-mothers/surrogacy-legal-aspects</w:t>
        </w:r>
      </w:hyperlink>
      <w:r>
        <w:t xml:space="preserve"> - This article from the Dutch government outlines the legal aspects of surrogacy in the Netherlands. It states that surrogacy is permitted under certain conditions, such as private arrangements with known individuals and reimbursement of expenses. However, promoting commercial surrogacy is illegal, including advertising or publicly seeking surrogate mothers. The article emphasizes the importance of adhering to these regulations to ensure the legality of surrogacy practices within the country.</w:t>
      </w:r>
      <w:r/>
    </w:p>
    <w:p>
      <w:pPr>
        <w:pStyle w:val="ListNumber"/>
        <w:spacing w:line="240" w:lineRule="auto"/>
        <w:ind w:left="720"/>
      </w:pPr>
      <w:r/>
      <w:hyperlink r:id="rId13">
        <w:r>
          <w:rPr>
            <w:color w:val="0000EE"/>
            <w:u w:val="single"/>
          </w:rPr>
          <w:t>https://www.europarl.europa.eu/thinktank/en/academic/EPRS_BRI%282025%29769508</w:t>
        </w:r>
      </w:hyperlink>
      <w:r>
        <w:t xml:space="preserve"> - This European Parliament Think Tank report discusses the legal situation of surrogacy within the European Union. It highlights the complexities surrounding the recognition of parenthood established through surrogacy abroad, noting that such recognition is not automatic and depends on the laws of the receiving state. The report also references case law from the European Court of Human Rights, which has addressed issues related to the recognition of parenthood in surrogacy cases, emphasizing the lack of consensus among EU member states on this matter.</w:t>
      </w:r>
      <w:r/>
    </w:p>
    <w:p>
      <w:pPr>
        <w:pStyle w:val="ListNumber"/>
        <w:spacing w:line="240" w:lineRule="auto"/>
        <w:ind w:left="720"/>
      </w:pPr>
      <w:r/>
      <w:hyperlink r:id="rId15">
        <w:r>
          <w:rPr>
            <w:color w:val="0000EE"/>
            <w:u w:val="single"/>
          </w:rPr>
          <w:t>https://globalsurrogacyadvisors.com/international-surrogacy-for-gay-men-in-the-netherlands-2026-update/</w:t>
        </w:r>
      </w:hyperlink>
      <w:r>
        <w:t xml:space="preserve"> - This article provides an update on international surrogacy options for gay men in the Netherlands as of 2026. It discusses the country's progressive stance on LGBTQ+ rights but notes that surrogacy laws remain cautious and restrictive. The piece highlights that international surrogacy is often the most practical and legally secure option for gay men in the Netherlands, given the current legal landscape and the complexities involved in domestic surrogacy arrangements.</w:t>
      </w:r>
      <w:r/>
    </w:p>
    <w:p>
      <w:pPr>
        <w:pStyle w:val="ListNumber"/>
        <w:spacing w:line="240" w:lineRule="auto"/>
        <w:ind w:left="720"/>
      </w:pPr>
      <w:r/>
      <w:hyperlink r:id="rId14">
        <w:r>
          <w:rPr>
            <w:color w:val="0000EE"/>
            <w:u w:val="single"/>
          </w:rPr>
          <w:t>https://rechtshulprotterdam.nl/en/encyclopedie/juridisch-moederschap-draagmoeder</w:t>
        </w:r>
      </w:hyperlink>
      <w:r>
        <w:t xml:space="preserve"> - This article from Rechtshulp Rotterdam explains the concept of legal motherhood in surrogacy cases within the Netherlands. It outlines the procedures and rules governing legal motherhood, emphasizing the importance of intention agreements and the role of the Rotterdam District Court in transferring motherhood to the intended mother after birth. The article also discusses the legal framework, including relevant articles from the Dutch Civil Code, and provides practical examples to illustrate the process.</w:t>
      </w:r>
      <w:r/>
    </w:p>
    <w:p>
      <w:pPr>
        <w:pStyle w:val="ListNumber"/>
        <w:spacing w:line="240" w:lineRule="auto"/>
        <w:ind w:left="720"/>
      </w:pPr>
      <w:r/>
      <w:hyperlink r:id="rId11">
        <w:r>
          <w:rPr>
            <w:color w:val="0000EE"/>
            <w:u w:val="single"/>
          </w:rPr>
          <w:t>https://www.internationaal-familierecht.nl/en/area-expertise/international-family-law/</w:t>
        </w:r>
      </w:hyperlink>
      <w:r>
        <w:t xml:space="preserve"> - This page from Internationaal FamilieRecht Advies details the firm's expertise in international family law, focusing on issues such as jurisdiction, applicable law, and the recognition and enforcement of judicial decisions in international contexts. It addresses questions related to cohabitation, marriage, registered partnerships, and the complexities arising from international elements in family law, providing guidance on navigating these intricate legal areas.</w:t>
      </w:r>
      <w:r/>
    </w:p>
    <w:p>
      <w:pPr>
        <w:pStyle w:val="ListNumber"/>
        <w:spacing w:line="240" w:lineRule="auto"/>
        <w:ind w:left="720"/>
      </w:pPr>
      <w:r/>
      <w:hyperlink r:id="rId12">
        <w:r>
          <w:rPr>
            <w:color w:val="0000EE"/>
            <w:u w:val="single"/>
          </w:rPr>
          <w:t>https://www.bnnlegal.nl/en/services/family-law/divorce-and-family-law-for-the-lgbt-community/</w:t>
        </w:r>
      </w:hyperlink>
      <w:r>
        <w:t xml:space="preserve"> - This article from Bowmer Nuiten Noteboom Advocaten discusses divorce and family law issues specific to the LGBT+ community. It highlights that while divorce proceedings may not differ based on the sex of the spouses, there are unique considerations for LGBT+ couples, such as the recognition of same-sex marriages in other countries and the complexities of international jurisdiction. The piece emphasizes the importance of seeking specialized legal advice to navigate these challenges effectively.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lawandmore.eu/lgbtiq-divorce-what-you-need-to-know/" TargetMode="External"/><Relationship Id="rId10" Type="http://schemas.openxmlformats.org/officeDocument/2006/relationships/hyperlink" Target="https://www.government.nl/themes/family-health-and-care/surrogate-mothers/surrogacy-legal-aspects" TargetMode="External"/><Relationship Id="rId11" Type="http://schemas.openxmlformats.org/officeDocument/2006/relationships/hyperlink" Target="https://www.internationaal-familierecht.nl/en/area-expertise/international-family-law/" TargetMode="External"/><Relationship Id="rId12" Type="http://schemas.openxmlformats.org/officeDocument/2006/relationships/hyperlink" Target="https://www.bnnlegal.nl/en/services/family-law/divorce-and-family-law-for-the-lgbt-community/" TargetMode="External"/><Relationship Id="rId13" Type="http://schemas.openxmlformats.org/officeDocument/2006/relationships/hyperlink" Target="https://www.europarl.europa.eu/thinktank/en/academic/EPRS_BRI%282025%29769508" TargetMode="External"/><Relationship Id="rId14" Type="http://schemas.openxmlformats.org/officeDocument/2006/relationships/hyperlink" Target="https://rechtshulprotterdam.nl/en/encyclopedie/juridisch-moederschap-draagmoeder" TargetMode="External"/><Relationship Id="rId15" Type="http://schemas.openxmlformats.org/officeDocument/2006/relationships/hyperlink" Target="https://globalsurrogacyadvisors.com/international-surrogacy-for-gay-men-in-the-netherlands-2026-updat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