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Push Back When Celebrities and Institutions Turn on Trans Rights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closely: when high-profile figures and institutions shift, public opinion follows , and that can make or break trans rights. Activists, allies and everyday people in the UK and beyond are organising, protesting and quietly changing how they vote to protect trans lives and services.</w:t>
      </w:r>
      <w:r/>
    </w:p>
    <w:p>
      <w:r/>
      <w:r>
        <w:t>Essential Takeaways</w:t>
      </w:r>
      <w:r/>
      <w:r/>
    </w:p>
    <w:p>
      <w:pPr>
        <w:pStyle w:val="ListBullet"/>
        <w:spacing w:line="240" w:lineRule="auto"/>
        <w:ind w:left="720"/>
      </w:pPr>
      <w:r/>
      <w:r>
        <w:rPr>
          <w:b/>
        </w:rPr>
        <w:t>Public influence matters:</w:t>
      </w:r>
      <w:r>
        <w:t xml:space="preserve"> Celebrities and political leaders shape attitudes, for better or worse, and can normalise anti-trans rhetoric. </w:t>
      </w:r>
      <w:r/>
    </w:p>
    <w:p>
      <w:pPr>
        <w:pStyle w:val="ListBullet"/>
        <w:spacing w:line="240" w:lineRule="auto"/>
        <w:ind w:left="720"/>
      </w:pPr>
      <w:r/>
      <w:r>
        <w:rPr>
          <w:b/>
        </w:rPr>
        <w:t>Media and institutions amplify harm:</w:t>
      </w:r>
      <w:r>
        <w:t xml:space="preserve"> New analyses show coordinated anti-trans messaging across outlets and political networks that feels like a snowball. </w:t>
      </w:r>
      <w:r/>
    </w:p>
    <w:p>
      <w:pPr>
        <w:pStyle w:val="ListBullet"/>
        <w:spacing w:line="240" w:lineRule="auto"/>
        <w:ind w:left="720"/>
      </w:pPr>
      <w:r/>
      <w:r>
        <w:rPr>
          <w:b/>
        </w:rPr>
        <w:t>Local politics carries weight:</w:t>
      </w:r>
      <w:r>
        <w:t xml:space="preserve"> Council wins by populist parties and draft codes on single-sex spaces are already altering access to services and care. </w:t>
      </w:r>
      <w:r/>
    </w:p>
    <w:p>
      <w:pPr>
        <w:pStyle w:val="ListBullet"/>
        <w:spacing w:line="240" w:lineRule="auto"/>
        <w:ind w:left="720"/>
      </w:pPr>
      <w:r/>
      <w:r>
        <w:rPr>
          <w:b/>
        </w:rPr>
        <w:t>Practical action helps:</w:t>
      </w:r>
      <w:r>
        <w:t xml:space="preserve"> Attend local rallies, back pro-trans candidates, support legal challenges and fund frontline charities. </w:t>
      </w:r>
      <w:r/>
    </w:p>
    <w:p>
      <w:pPr>
        <w:pStyle w:val="ListBullet"/>
        <w:spacing w:line="240" w:lineRule="auto"/>
        <w:ind w:left="720"/>
      </w:pPr>
      <w:r/>
      <w:r>
        <w:rPr>
          <w:b/>
        </w:rPr>
        <w:t>Small gestures count:</w:t>
      </w:r>
      <w:r>
        <w:t xml:space="preserve"> Everyday kindness and clear language about rights make trans people feel safer and less isolated.</w:t>
      </w:r>
      <w:r/>
      <w:r/>
    </w:p>
    <w:p>
      <w:pPr>
        <w:pStyle w:val="Heading2"/>
      </w:pPr>
      <w:r>
        <w:t>Why celebrity defections are more than gossip , they reshape public feeling</w:t>
      </w:r>
      <w:r/>
    </w:p>
    <w:p>
      <w:r/>
      <w:r>
        <w:t>When a famous person who once symbolised progress turns critical of trans rights, it’s not just a tabloid story; it’s a signal to millions. Research and campaign groups have mapped how media narratives and political endorsements feed one another, creating a steady drumbeat of scepticism that can influence lawmakers. For people who see their dignity debated on TV, the effect is visceral , a dulling of trust and a spike in anxiety. If you want to respond, start where influence meets the public: call out misinformation, amplify trans voices, and support journalists who fact-check claims about medical care and participation in public life.</w:t>
      </w:r>
      <w:r/>
    </w:p>
    <w:p>
      <w:pPr>
        <w:pStyle w:val="Heading2"/>
      </w:pPr>
      <w:r>
        <w:t>The media’s role: coordinated campaigns, casual harm</w:t>
      </w:r>
      <w:r/>
    </w:p>
    <w:p>
      <w:r/>
      <w:r>
        <w:t>Analysts at Amnesty UK and NGOs have shown how strands of anti-trans rhetoric move between outlets and political channels like a relay race. The result is consistent frames that portray trans identity as a threat to women’s safety or children’s wellbeing, even when evidence is lacking. That framing seeps into daily conversation, making it easier for policymakers to propose restrictive measures. Practical advice: diversify your news sources, follow specialist outlets that centre trans experiences, and challenge sensational headlines on social media with clear, sourced replies.</w:t>
      </w:r>
      <w:r/>
    </w:p>
    <w:p>
      <w:pPr>
        <w:pStyle w:val="Heading2"/>
      </w:pPr>
      <w:r>
        <w:t>Local council politics now decides access to life-changing services</w:t>
      </w:r>
      <w:r/>
    </w:p>
    <w:p>
      <w:r/>
      <w:r>
        <w:t>National headlines get the clicks, but it’s town halls and councils that often enact policies affecting everyday life: access to local youth services, the language used in council communications, or who can get help at a community centre. Recent local elections in the UK and the rise of populist councils show how quickly local governance can tilt. If you care about keeping services accessible, the most effective move is local , volunteer for ward campaigns, attend council meetings, and press councillors for inclusive codes of conduct.</w:t>
      </w:r>
      <w:r/>
    </w:p>
    <w:p>
      <w:pPr>
        <w:pStyle w:val="Heading2"/>
      </w:pPr>
      <w:r>
        <w:t>Lawfare and codes of practice: the courtroom is a frontline</w:t>
      </w:r>
      <w:r/>
    </w:p>
    <w:p>
      <w:r/>
      <w:r>
        <w:t>Legal battles are shaping the practical meaning of rights. Organisations have both mounted challenges and lost, and draft codes around single-sex spaces and service provision are being debated by regulators and watchdogs. That’s important because guidance from an equality body can ripple across public services and businesses. For campaigners, that means a two-pronged approach: support strategic litigation that defends access, and engage in consultations so draft codes reflect real-world needs rather than alarmist fears.</w:t>
      </w:r>
      <w:r/>
    </w:p>
    <w:p>
      <w:pPr>
        <w:pStyle w:val="Heading2"/>
      </w:pPr>
      <w:r>
        <w:t>How divisions within LGBTQ+ spaces are feeding the problem , and what to do</w:t>
      </w:r>
      <w:r/>
    </w:p>
    <w:p>
      <w:r/>
      <w:r>
        <w:t>Polarisation isn’t just between left and right; it’s inside our communities too. When LGB groups or individual trans people adopt exclusionary or conservative stances, opponents use those examples to argue that trans rights aren’t about fairness but ideology. That internal rift hurts solidarity and makes public defence harder. The simplest fix is pragmatic: centre the voices of the most affected, insist on shared principles of dignity, and keep advocacy focused on practical protections , healthcare, safety, and legal recognition , rather than purity tests.</w:t>
      </w:r>
      <w:r/>
    </w:p>
    <w:p>
      <w:pPr>
        <w:pStyle w:val="Heading2"/>
      </w:pPr>
      <w:r>
        <w:t>Practical ways to help today , from the ballot box to the coffee shop</w:t>
      </w:r>
      <w:r/>
    </w:p>
    <w:p>
      <w:r/>
      <w:r>
        <w:t>You don’t need a megaphone to make a difference. Join a rally on International Day Against Homophobia, Transphobia and Biphobia; donate to charities providing gender-affirming support; write to your MP about local impacts; or simply correct a harmful claim in conversation. If you’re a journalist, cover lived experience and evidence rather than hypotheticals. If you sit on a hiring panel or run a club, review your inclusion policies. Small, steady actions at neighbourhood level combine into big protections over time.</w:t>
      </w:r>
      <w:r/>
    </w:p>
    <w:p>
      <w:r/>
      <w:r>
        <w:t>It's a small change that can make every right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0">
        <w:r>
          <w:rPr>
            <w:color w:val="0000EE"/>
            <w:u w:val="single"/>
          </w:rPr>
          <w:t>[2]</w:t>
        </w:r>
      </w:hyperlink>
      <w:r>
        <w:t xml:space="preserve">- Paragraph 3: </w:t>
      </w:r>
      <w:hyperlink r:id="rId13">
        <w:r>
          <w:rPr>
            <w:color w:val="0000EE"/>
            <w:u w:val="single"/>
          </w:rPr>
          <w:t>[7]</w:t>
        </w:r>
      </w:hyperlink>
      <w:r>
        <w:t xml:space="preserve">, </w:t>
      </w:r>
      <w:hyperlink r:id="rId14">
        <w:r>
          <w:rPr>
            <w:color w:val="0000EE"/>
            <w:u w:val="single"/>
          </w:rPr>
          <w:t>[5]</w:t>
        </w:r>
      </w:hyperlink>
      <w:r>
        <w:t xml:space="preserve">- Paragraph 4: </w:t>
      </w:r>
      <w:hyperlink r:id="rId15">
        <w:r>
          <w:rPr>
            <w:color w:val="0000EE"/>
            <w:u w:val="single"/>
          </w:rPr>
          <w:t>[4]</w:t>
        </w:r>
      </w:hyperlink>
      <w:r>
        <w:t xml:space="preserve">, </w:t>
      </w:r>
      <w:hyperlink r:id="rId14">
        <w:r>
          <w:rPr>
            <w:color w:val="0000EE"/>
            <w:u w:val="single"/>
          </w:rPr>
          <w:t>[5]</w:t>
        </w:r>
      </w:hyperlink>
      <w:r>
        <w:t xml:space="preserve">- Paragraph 5: </w:t>
      </w:r>
      <w:hyperlink r:id="rId9">
        <w:r>
          <w:rPr>
            <w:color w:val="0000EE"/>
            <w:u w:val="single"/>
          </w:rPr>
          <w:t>[1]</w:t>
        </w:r>
      </w:hyperlink>
      <w:r>
        <w:t xml:space="preserve">, </w:t>
      </w:r>
      <w:hyperlink r:id="rId11">
        <w:r>
          <w:rPr>
            <w:color w:val="0000EE"/>
            <w:u w:val="single"/>
          </w:rPr>
          <w:t>[6]</w:t>
        </w:r>
      </w:hyperlink>
      <w:r>
        <w:t xml:space="preserve">- Paragraph 6: </w:t>
      </w:r>
      <w:hyperlink r:id="rId13">
        <w:r>
          <w:rPr>
            <w:color w:val="0000EE"/>
            <w:u w:val="single"/>
          </w:rPr>
          <w:t>[7]</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https://www.washingtonblade.com/2026/07/06/when-a-church-fears-the-rainbow/?utm_source=rss&amp;utm_medium=rss&amp;utm_campaign=when-a-church-fears-the-rainbow</w:t>
        </w:r>
      </w:hyperlink>
      <w:r>
        <w:t xml:space="preserve"> - Please view link - unable to able to access data</w:t>
      </w:r>
      <w:r/>
    </w:p>
    <w:p>
      <w:pPr>
        <w:pStyle w:val="ListNumber"/>
        <w:spacing w:line="240" w:lineRule="auto"/>
        <w:ind w:left="720"/>
      </w:pPr>
      <w:r/>
      <w:hyperlink r:id="rId10">
        <w:r>
          <w:rPr>
            <w:color w:val="0000EE"/>
            <w:u w:val="single"/>
          </w:rPr>
          <w:t>https://www.amnesty.org.uk/latest/new-uk-analysis-reveals--anti-trans-influence-media-politics/</w:t>
        </w:r>
      </w:hyperlink>
      <w:r>
        <w:t xml:space="preserve"> - Amnesty International UK's analysis reveals the significant influence of anti-trans organisations in UK media and politics. Over five years, four UK newspapers published 17,000 articles on 'trans issues', averaging nine articles daily. The reporting predominantly excludes trans voices and amplifies anti-trans perspectives, elevating 'trans issues' to top-tier political debate despite low public salience. This trend highlights the growing power of anti-trans groups in shaping public discourse and policy.</w:t>
      </w:r>
      <w:r/>
    </w:p>
    <w:p>
      <w:pPr>
        <w:pStyle w:val="ListNumber"/>
        <w:spacing w:line="240" w:lineRule="auto"/>
        <w:ind w:left="720"/>
      </w:pPr>
      <w:r/>
      <w:hyperlink r:id="rId12">
        <w:r>
          <w:rPr>
            <w:color w:val="0000EE"/>
            <w:u w:val="single"/>
          </w:rPr>
          <w:t>https://www.independent.co.uk/news/uk/home-news/anti-trans-survey-transphobia-media-lgbtq-b2931073.html</w:t>
        </w:r>
      </w:hyperlink>
      <w:r>
        <w:t xml:space="preserve"> - A survey by TransActual indicates that rising anti-trans hatred in the UK is creating a 'hostile environment' for trans people. Ninety-nine per cent of respondents reported that media coverage has harmed their mental health, and ninety-nine per cent have heard politicians express transphobic views. The survey also highlights significant barriers to accessing healthcare and appropriate identification, reflecting a failure to respect the fundamental rights of trans individuals.</w:t>
      </w:r>
      <w:r/>
    </w:p>
    <w:p>
      <w:pPr>
        <w:pStyle w:val="ListNumber"/>
        <w:spacing w:line="240" w:lineRule="auto"/>
        <w:ind w:left="720"/>
      </w:pPr>
      <w:r/>
      <w:hyperlink r:id="rId15">
        <w:r>
          <w:rPr>
            <w:color w:val="0000EE"/>
            <w:u w:val="single"/>
          </w:rPr>
          <w:t>https://www.theguardian.com/law/2026/feb/13/good-law-project-loses-challenge-interim-ehrc-advice-single-sex-spaces</w:t>
        </w:r>
      </w:hyperlink>
      <w:r>
        <w:t xml:space="preserve"> - The Good Law Project lost its legal challenge to interim advice from the UK Equality and Human Rights Commission (EHRC), which effectively bans transgender people from using bathroom and changing facilities according to their lived gender. The EHRC's advice, published shortly after a Supreme Court ruling on biological sex, was withdrawn from its website following the court's decision. The ruling has been welcomed by campaigners frustrated at the slow application of the Supreme Court ruling.</w:t>
      </w:r>
      <w:r/>
    </w:p>
    <w:p>
      <w:pPr>
        <w:pStyle w:val="ListNumber"/>
        <w:spacing w:line="240" w:lineRule="auto"/>
        <w:ind w:left="720"/>
      </w:pPr>
      <w:r/>
      <w:hyperlink r:id="rId14">
        <w:r>
          <w:rPr>
            <w:color w:val="0000EE"/>
            <w:u w:val="single"/>
          </w:rPr>
          <w:t>https://www.ilga-europe.org/news/new-uk-draft-code-of-practice-intensifies-exclusion-of-trans-people/</w:t>
        </w:r>
      </w:hyperlink>
      <w:r>
        <w:t xml:space="preserve"> - ILGA-Europe expresses deep concern over the UK’s draft Code of Practice under the Equality Act 2010, which intensifies the exclusion of trans people. Following the Supreme Court's interpretation of the term 'woman' under the Equality Act, the Equality and Human Rights Commission updated the Code of Practice, leading to fears about the implications for the rights of trans individuals in the UK.</w:t>
      </w:r>
      <w:r/>
    </w:p>
    <w:p>
      <w:pPr>
        <w:pStyle w:val="ListNumber"/>
        <w:spacing w:line="240" w:lineRule="auto"/>
        <w:ind w:left="720"/>
      </w:pPr>
      <w:r/>
      <w:hyperlink r:id="rId11">
        <w:r>
          <w:rPr>
            <w:color w:val="0000EE"/>
            <w:u w:val="single"/>
          </w:rPr>
          <w:t>https://www.amnesty.org.uk/knowledge-hub/all-resources/like-a-snowball/</w:t>
        </w:r>
      </w:hyperlink>
      <w:r>
        <w:t xml:space="preserve"> - Amnesty International UK's report examines the growth and impact of the gender critical movement in the UK. Over the past decade, there has been an organised backlash against trans people's rights, with the movement gaining significant influence in public and political discourse. Between January 2020 and April 2025, four UK newspapers published 17,000 articles on trans issues, averaging nine articles daily, often excluding trans voices and amplifying anti-trans perspectives.</w:t>
      </w:r>
      <w:r/>
    </w:p>
    <w:p>
      <w:pPr>
        <w:pStyle w:val="ListNumber"/>
        <w:spacing w:line="240" w:lineRule="auto"/>
        <w:ind w:left="720"/>
      </w:pPr>
      <w:r/>
      <w:hyperlink r:id="rId13">
        <w:r>
          <w:rPr>
            <w:color w:val="0000EE"/>
            <w:u w:val="single"/>
          </w:rPr>
          <w:t>https://southampton.greenparty.org.uk/2026/05/24/southampton-march-for-international-day-against-homophobiabiphobia-and-transphobia/</w:t>
        </w:r>
      </w:hyperlink>
      <w:r>
        <w:t xml:space="preserve"> - The Southampton Green Party reports on a march held on 17 May 2026 for the International Day Against Homophobia, Biphobia, and Transphobia. The event highlighted concerns over the state of LGBTQIA+ rights in the UK, particularly focusing on the challenges faced by trans individuals. Participants expressed solidarity and a commitment to preserving and advancing the rights of the LGBTQIA+ community amidst ongoing challenges.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ashingtonblade.com/2026/07/06/when-a-church-fears-the-rainbow/?utm_source=rss&amp;utm_medium=rss&amp;utm_campaign=when-a-church-fears-the-rainbow" TargetMode="External"/><Relationship Id="rId10" Type="http://schemas.openxmlformats.org/officeDocument/2006/relationships/hyperlink" Target="https://www.amnesty.org.uk/latest/new-uk-analysis-reveals--anti-trans-influence-media-politics/" TargetMode="External"/><Relationship Id="rId11" Type="http://schemas.openxmlformats.org/officeDocument/2006/relationships/hyperlink" Target="https://www.amnesty.org.uk/knowledge-hub/all-resources/like-a-snowball/" TargetMode="External"/><Relationship Id="rId12" Type="http://schemas.openxmlformats.org/officeDocument/2006/relationships/hyperlink" Target="https://www.independent.co.uk/news/uk/home-news/anti-trans-survey-transphobia-media-lgbtq-b2931073.html" TargetMode="External"/><Relationship Id="rId13" Type="http://schemas.openxmlformats.org/officeDocument/2006/relationships/hyperlink" Target="https://southampton.greenparty.org.uk/2026/05/24/southampton-march-for-international-day-against-homophobiabiphobia-and-transphobia/" TargetMode="External"/><Relationship Id="rId14" Type="http://schemas.openxmlformats.org/officeDocument/2006/relationships/hyperlink" Target="https://www.ilga-europe.org/news/new-uk-draft-code-of-practice-intensifies-exclusion-of-trans-people/" TargetMode="External"/><Relationship Id="rId15" Type="http://schemas.openxmlformats.org/officeDocument/2006/relationships/hyperlink" Target="https://www.theguardian.com/law/2026/feb/13/good-law-project-loses-challenge-interim-ehrc-advice-single-sex-spac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