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Realtors Can Build Inclusive Communities Through Housing</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sellers are noticing that housing choices now hinge on more than price or postcode; agents who understand identity, safety and belonging are gaining trust. This piece explores why LGBTQ+ homeownership lags, where discrimination shows up, and how real estate professionals can build more inclusive communities and practices.</w:t>
      </w:r>
      <w:r/>
    </w:p>
    <w:p>
      <w:r/>
      <w:r>
        <w:t>Essential Takeaways</w:t>
      </w:r>
      <w:r/>
      <w:r/>
    </w:p>
    <w:p>
      <w:pPr>
        <w:pStyle w:val="ListBullet"/>
        <w:spacing w:line="240" w:lineRule="auto"/>
        <w:ind w:left="720"/>
      </w:pPr>
      <w:r/>
      <w:r>
        <w:rPr>
          <w:b/>
        </w:rPr>
        <w:t>Homeownership gap:</w:t>
      </w:r>
      <w:r>
        <w:t xml:space="preserve"> LGBTQ+ households own homes at notably lower rates than the general population, signalling persistent access barriers.</w:t>
      </w:r>
      <w:r/>
    </w:p>
    <w:p>
      <w:pPr>
        <w:pStyle w:val="ListBullet"/>
        <w:spacing w:line="240" w:lineRule="auto"/>
        <w:ind w:left="720"/>
      </w:pPr>
      <w:r/>
      <w:r>
        <w:rPr>
          <w:b/>
        </w:rPr>
        <w:t>Perceived discrimination rising:</w:t>
      </w:r>
      <w:r>
        <w:t xml:space="preserve"> More LGBTQ+ consumers now cite housing discrimination as a barrier, with real estate professionals sometimes named as a source.</w:t>
      </w:r>
      <w:r/>
    </w:p>
    <w:p>
      <w:pPr>
        <w:pStyle w:val="ListBullet"/>
        <w:spacing w:line="240" w:lineRule="auto"/>
        <w:ind w:left="720"/>
      </w:pPr>
      <w:r/>
      <w:r>
        <w:rPr>
          <w:b/>
        </w:rPr>
        <w:t>Intersectional impact:</w:t>
      </w:r>
      <w:r>
        <w:t xml:space="preserve"> Race, income and family status amplify disparities; LGBTQ+ BIPOC buyers face compounded affordability pressures.</w:t>
      </w:r>
      <w:r/>
    </w:p>
    <w:p>
      <w:pPr>
        <w:pStyle w:val="ListBullet"/>
        <w:spacing w:line="240" w:lineRule="auto"/>
        <w:ind w:left="720"/>
      </w:pPr>
      <w:r/>
      <w:r>
        <w:rPr>
          <w:b/>
        </w:rPr>
        <w:t>Actionable allyship:</w:t>
      </w:r>
      <w:r>
        <w:t xml:space="preserve"> Simple steps, education, visible inclusion, and referral networks, help agents serve and retain LGBTQ+ clients.</w:t>
      </w:r>
      <w:r/>
    </w:p>
    <w:p>
      <w:pPr>
        <w:pStyle w:val="ListBullet"/>
        <w:spacing w:line="240" w:lineRule="auto"/>
        <w:ind w:left="720"/>
      </w:pPr>
      <w:r/>
      <w:r>
        <w:rPr>
          <w:b/>
        </w:rPr>
        <w:t>Policy and advocacy matter:</w:t>
      </w:r>
      <w:r>
        <w:t xml:space="preserve"> Industry engagement, fair-housing work and local partnerships shift long-term outcomes for marginalised buyers.</w:t>
      </w:r>
      <w:r/>
      <w:r/>
    </w:p>
    <w:p>
      <w:pPr>
        <w:pStyle w:val="Heading2"/>
      </w:pPr>
      <w:r>
        <w:t>Why the LGBTQ+ homeownership gap matters now</w:t>
      </w:r>
      <w:r/>
    </w:p>
    <w:p>
      <w:r/>
      <w:r>
        <w:t>The headline fact is blunt: LGBTQ+ homeownership sits well below the national average, and that gap isn’t just a statistic , it translates into people feeling less secure and less represented where they live. According to recent industry reports, homeownership among LGBTQ+ households trails the general population by a significant margin, and the emotional toll shows up in decisions about schools, jobs and family life. For agents, that’s a nudge to look beyond price and square footage and ask, “Does this neighbourhood feel safe and welcoming?”</w:t>
      </w:r>
      <w:r/>
    </w:p>
    <w:p>
      <w:r/>
      <w:r>
        <w:t>This isn’t a new problem, but it’s changing. Research from national organisations and housing analysts points to rising concerns: fear of discrimination is growing, and in some surveys consumers list real estate professionals among sources of bias. That’s uncomfortable to read, but it’s also useful , acknowledging the issue is the first step toward doing better.</w:t>
      </w:r>
      <w:r/>
    </w:p>
    <w:p>
      <w:pPr>
        <w:pStyle w:val="Heading2"/>
      </w:pPr>
      <w:r>
        <w:t>Where discrimination shows up , and how it shifts choices</w:t>
      </w:r>
      <w:r/>
    </w:p>
    <w:p>
      <w:r/>
      <w:r>
        <w:t>Housing decisions are shaped by identity as much as by income. LGBTQ+ buyers often weigh safety, local laws, school climates and community culture alongside commute times and mortgage rates. In parts of the country where anti-LGBTQ+ rhetoric or legislation has increased, people are shifting toward neighbourhoods perceived as more welcoming, or delaying moves altogether.</w:t>
      </w:r>
      <w:r/>
    </w:p>
    <w:p>
      <w:r/>
      <w:r>
        <w:t>Studies also reveal structural drivers: wealth gaps, unequal family support, and higher rates of renting among younger LGBTQ+ adults. Meanwhile, intersectional factors matter , LGBTQ+ people of colour face steeper affordability hurdles and may spend a larger share of income on housing. For agents, that means asking better questions and tailoring options with nuance rather than assuming one-size-fits-all solutions.</w:t>
      </w:r>
      <w:r/>
    </w:p>
    <w:p>
      <w:pPr>
        <w:pStyle w:val="Heading2"/>
      </w:pPr>
      <w:r>
        <w:t>How agents can show practical, visible allyship today</w:t>
      </w:r>
      <w:r/>
    </w:p>
    <w:p>
      <w:r/>
      <w:r>
        <w:t>Allyship doesn’t have to be performative to be effective; it starts with practical actions that build trust. That might mean displaying inclusive signage in your office, taking fair-housing refresher training, or listing local community resources for prospective buyers. Realtors who join or partner with groups like the LGBTQ+ Real Estate Alliance gain access to education and networks that make client conversations easier and safer.</w:t>
      </w:r>
      <w:r/>
    </w:p>
    <w:p>
      <w:r/>
      <w:r>
        <w:t>Small operational shifts matter too: use inclusive language on forms and in conversations, ensure marketing imagery reflects diverse families, and build a vetted list of lenders, inspectors and attorneys known for equitable treatment. These are simple fixes that make a tangible difference in a client’s experience.</w:t>
      </w:r>
      <w:r/>
    </w:p>
    <w:p>
      <w:pPr>
        <w:pStyle w:val="Heading2"/>
      </w:pPr>
      <w:r>
        <w:t>Building partnerships that strengthen community outcomes</w:t>
      </w:r>
      <w:r/>
    </w:p>
    <w:p>
      <w:r/>
      <w:r>
        <w:t>Real progress comes when agents work beyond individual transactions. Chapters of industry alliances are connecting with local Realtor associations, multicultural partners and advocacy groups to create education programmes, policy conversations and referrals. These collaborations help surface barriers , like discriminatory practices or zoning issues , and align industry resources to address them.</w:t>
      </w:r>
      <w:r/>
    </w:p>
    <w:p>
      <w:r/>
      <w:r>
        <w:t>Nationally, initiatives such as housing policy symposia, research reports and political engagement tracking keep these topics on the agenda. Locally, hosting meet-ups or co-sponsoring community events sends a signal: you’re invested in long-term belonging, not just a single sale.</w:t>
      </w:r>
      <w:r/>
    </w:p>
    <w:p>
      <w:pPr>
        <w:pStyle w:val="Heading2"/>
      </w:pPr>
      <w:r>
        <w:t>Choosing the right actions for your market and clients</w:t>
      </w:r>
      <w:r/>
    </w:p>
    <w:p>
      <w:r/>
      <w:r>
        <w:t>Not every tactic fits every neighbourhood, so think strategically. In conservative markets, prioritise safety checks: confirm nondiscrimination policies at condo boards, research school reputations, and prepare clients for questions about local services. In progressive areas, highlight community assets and long-term stability. Across the board, centre listening: ask clients what makes them feel at home, and let that guide neighbourhood matches.</w:t>
      </w:r>
      <w:r/>
    </w:p>
    <w:p>
      <w:r/>
      <w:r>
        <w:t>If you’re an ally wondering where to start, training and simple policy language in listing agreements are low-effort, high-impact moves. And if you’re a broker, consider leadership development that grows diverse voices within your teams. The combined effect of small, steady changes is what reshapes markets over time.</w:t>
      </w:r>
      <w:r/>
    </w:p>
    <w:p>
      <w:r/>
      <w:r>
        <w:t>It's a small change that can make every move feel safer and more welcome.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[7]</w:t>
        </w:r>
      </w:hyperlink>
      <w:r>
        <w:t xml:space="preserve">- Paragraph 2: </w:t>
      </w:r>
      <w:hyperlink r:id="rId12">
        <w:r>
          <w:rPr>
            <w:color w:val="0000EE"/>
            <w:u w:val="single"/>
          </w:rPr>
          <w:t>[6]</w:t>
        </w:r>
      </w:hyperlink>
      <w:r>
        <w:t xml:space="preserve">, </w:t>
      </w:r>
      <w:hyperlink r:id="rId13">
        <w:r>
          <w:rPr>
            <w:color w:val="0000EE"/>
            <w:u w:val="single"/>
          </w:rPr>
          <w:t>[3]</w:t>
        </w:r>
      </w:hyperlink>
      <w:r>
        <w:t xml:space="preserve">- Paragraph 3: </w:t>
      </w:r>
      <w:hyperlink r:id="rId10">
        <w:r>
          <w:rPr>
            <w:color w:val="0000EE"/>
            <w:u w:val="single"/>
          </w:rPr>
          <w:t>[2]</w:t>
        </w:r>
      </w:hyperlink>
      <w:r>
        <w:t xml:space="preserve">, </w:t>
      </w:r>
      <w:hyperlink r:id="rId14">
        <w:r>
          <w:rPr>
            <w:color w:val="0000EE"/>
            <w:u w:val="single"/>
          </w:rPr>
          <w:t>[5]</w:t>
        </w:r>
      </w:hyperlink>
      <w:r>
        <w:t xml:space="preserve">- Paragraph 4: </w:t>
      </w:r>
      <w:hyperlink r:id="rId10">
        <w:r>
          <w:rPr>
            <w:color w:val="0000EE"/>
            <w:u w:val="single"/>
          </w:rPr>
          <w:t>[2]</w:t>
        </w:r>
      </w:hyperlink>
      <w:r>
        <w:t xml:space="preserve">, </w:t>
      </w:r>
      <w:hyperlink r:id="rId12">
        <w:r>
          <w:rPr>
            <w:color w:val="0000EE"/>
            <w:u w:val="single"/>
          </w:rPr>
          <w:t>[6]</w:t>
        </w:r>
      </w:hyperlink>
      <w:r>
        <w:t xml:space="preserve">- Paragraph 5: </w:t>
      </w:r>
      <w:hyperlink r:id="rId10">
        <w:r>
          <w:rPr>
            <w:color w:val="0000EE"/>
            <w:u w:val="single"/>
          </w:rPr>
          <w:t>[2]</w:t>
        </w:r>
      </w:hyperlink>
      <w:r>
        <w:t xml:space="preserve">, </w:t>
      </w:r>
      <w:hyperlink r:id="rId15">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https://chicagoagentmagazine.com/2026/07/06/the-communities-we-serve-and-the-communities-we-build/?utm_source=rss&amp;utm_medium=rss&amp;utm_campaign=the-communities-we-serve-and-the-communities-we-build</w:t>
        </w:r>
      </w:hyperlink>
      <w:r>
        <w:t xml:space="preserve"> - Please view link - unable to able to access data</w:t>
      </w:r>
      <w:r/>
    </w:p>
    <w:p>
      <w:pPr>
        <w:pStyle w:val="ListNumber"/>
        <w:spacing w:line="240" w:lineRule="auto"/>
        <w:ind w:left="720"/>
      </w:pPr>
      <w:r/>
      <w:hyperlink r:id="rId10">
        <w:r>
          <w:rPr>
            <w:color w:val="0000EE"/>
            <w:u w:val="single"/>
          </w:rPr>
          <w:t>https://realestatealliance.org/wp-content/uploads/2025/05/2025-LGBTQ-Report_V4.pdf</w:t>
        </w:r>
      </w:hyperlink>
      <w:r>
        <w:t xml:space="preserve"> - The 5th Annual LGBTQ+ Real Estate Report by the LGBTQ+ Real Estate Alliance highlights that LGBTQ+ homeownership stands at 49.8%, significantly lower than the national average of 65.1%. The report also notes a substantial increase in perceived housing discrimination, with real estate professionals now identified as the leading source of such discrimination, marking a shift from previous years. These findings underscore the ongoing challenges faced by the LGBTQ+ community in accessing homeownership and the need for continued advocacy and education within the real estate industry.</w:t>
      </w:r>
      <w:r/>
    </w:p>
    <w:p>
      <w:pPr>
        <w:pStyle w:val="ListNumber"/>
        <w:spacing w:line="240" w:lineRule="auto"/>
        <w:ind w:left="720"/>
      </w:pPr>
      <w:r/>
      <w:hyperlink r:id="rId13">
        <w:r>
          <w:rPr>
            <w:color w:val="0000EE"/>
            <w:u w:val="single"/>
          </w:rPr>
          <w:t>https://www.redfin.com/news/lgbtq-homeownership-survey-2023/</w:t>
        </w:r>
      </w:hyperlink>
      <w:r>
        <w:t xml:space="preserve"> - A Redfin-commissioned survey reveals that 24% of LGBTQ+ renters are unlikely to buy a home due to a lack of financial support from family or friends, compared to 14% of non-LGBTQ+ renters. Additionally, LGBTQ+ renters are more likely to face financial barriers such as student loan debt, with 18.4% citing it as an obstacle to homeownership. These statistics highlight the unique challenges the LGBTQ+ community encounters in the housing market, emphasizing the need for targeted support and resources.</w:t>
      </w:r>
      <w:r/>
    </w:p>
    <w:p>
      <w:pPr>
        <w:pStyle w:val="ListNumber"/>
        <w:spacing w:line="240" w:lineRule="auto"/>
        <w:ind w:left="720"/>
      </w:pPr>
      <w:r/>
      <w:hyperlink r:id="rId15">
        <w:r>
          <w:rPr>
            <w:color w:val="0000EE"/>
            <w:u w:val="single"/>
          </w:rPr>
          <w:t>https://www.urban.org/research/publication/why-are-there-gaps-lgbtq-homeownership</w:t>
        </w:r>
      </w:hyperlink>
      <w:r>
        <w:t xml:space="preserve"> - An Urban Institute report indicates that the homeownership rate among LGBTQ+ individuals is 20 percentage points lower than that of straight and cisgender people. The study identifies demographic trends contributing to this disparity, including factors such as discrimination, economic challenges, and access to resources. The findings call for policy interventions and support systems to address these gaps and promote equitable homeownership opportunities for the LGBTQ+ community.</w:t>
      </w:r>
      <w:r/>
    </w:p>
    <w:p>
      <w:pPr>
        <w:pStyle w:val="ListNumber"/>
        <w:spacing w:line="240" w:lineRule="auto"/>
        <w:ind w:left="720"/>
      </w:pPr>
      <w:r/>
      <w:hyperlink r:id="rId14">
        <w:r>
          <w:rPr>
            <w:color w:val="0000EE"/>
            <w:u w:val="single"/>
          </w:rPr>
          <w:t>https://www.rismedia.com/2023/04/10/lgbtq-bipoc-buyers-spend-more-their-income-own-home/</w:t>
        </w:r>
      </w:hyperlink>
      <w:r>
        <w:t xml:space="preserve"> - A report by RISMedia highlights that LGBTQ+ and BIPOC buyers are more likely to allocate a larger portion of their income towards homeownership compared to white, non-LGBTQ+ buyers. Nearly two-thirds (65%) of LGBTQ+ and BIPOC buyers put down 20% or less of a home's purchase price, compared to about half (53%) of white, non-LGBTQ+ buyers. This trend underscores the financial challenges faced by minority groups in achieving homeownership.</w:t>
      </w:r>
      <w:r/>
    </w:p>
    <w:p>
      <w:pPr>
        <w:pStyle w:val="ListNumber"/>
        <w:spacing w:line="240" w:lineRule="auto"/>
        <w:ind w:left="720"/>
      </w:pPr>
      <w:r/>
      <w:hyperlink r:id="rId12">
        <w:r>
          <w:rPr>
            <w:color w:val="0000EE"/>
            <w:u w:val="single"/>
          </w:rPr>
          <w:t>https://www.inman.com/2023/05/10/survey-details-growing-suffering-for-lgbtq-buyers-sellers/</w:t>
        </w:r>
      </w:hyperlink>
      <w:r>
        <w:t xml:space="preserve"> - The LGBTQ+ Real Estate Alliance's third annual survey reveals that over 320 anti-LGBTQ laws are impacting LGBTQ+ homeownership and housing rights. The survey indicates worsening discrimination and a rise in such legislation, leading to increased challenges for LGBTQ+ buyers and sellers. The LGBTQ+ homeownership rate remains unchanged from its 2020 share of 49.8%, 16.1% behind the national average, highlighting the persistent barriers in the housing market for the LGBTQ+ community.</w:t>
      </w:r>
      <w:r/>
    </w:p>
    <w:p>
      <w:pPr>
        <w:pStyle w:val="ListNumber"/>
        <w:spacing w:line="240" w:lineRule="auto"/>
        <w:ind w:left="720"/>
      </w:pPr>
      <w:r/>
      <w:hyperlink r:id="rId11">
        <w:r>
          <w:rPr>
            <w:color w:val="0000EE"/>
            <w:u w:val="single"/>
          </w:rPr>
          <w:t>https://www.axios.com/2024/06/15/lgbtq-barriers-homeownership</w:t>
        </w:r>
      </w:hyperlink>
      <w:r>
        <w:t xml:space="preserve"> - An Axios report discusses the financial barriers to homeownership for LGBTQ+ individuals, noting that homebuying in LGBTQ+-friendly metros requires an income of $150,000, nearly 50% higher than in areas without LGBTQ+ protections. The LGBTQ+ homeownership rate is 20 percentage points lower than that of straight and cisgender people, according to the Urban Institute. Despite a notable income gap, the D.C. area remains relatively affordable for LGBTQ+ populations, though affordable housing states may not always be safe for LGBTQ+ communities.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chicagoagentmagazine.com/2026/07/06/the-communities-we-serve-and-the-communities-we-build/?utm_source=rss&amp;utm_medium=rss&amp;utm_campaign=the-communities-we-serve-and-the-communities-we-build" TargetMode="External"/><Relationship Id="rId10" Type="http://schemas.openxmlformats.org/officeDocument/2006/relationships/hyperlink" Target="https://realestatealliance.org/wp-content/uploads/2025/05/2025-LGBTQ-Report_V4.pdf" TargetMode="External"/><Relationship Id="rId11" Type="http://schemas.openxmlformats.org/officeDocument/2006/relationships/hyperlink" Target="https://www.axios.com/2024/06/15/lgbtq-barriers-homeownership" TargetMode="External"/><Relationship Id="rId12" Type="http://schemas.openxmlformats.org/officeDocument/2006/relationships/hyperlink" Target="https://www.inman.com/2023/05/10/survey-details-growing-suffering-for-lgbtq-buyers-sellers/" TargetMode="External"/><Relationship Id="rId13" Type="http://schemas.openxmlformats.org/officeDocument/2006/relationships/hyperlink" Target="https://www.redfin.com/news/lgbtq-homeownership-survey-2023/" TargetMode="External"/><Relationship Id="rId14" Type="http://schemas.openxmlformats.org/officeDocument/2006/relationships/hyperlink" Target="https://www.rismedia.com/2023/04/10/lgbtq-bipoc-buyers-spend-more-their-income-own-home/" TargetMode="External"/><Relationship Id="rId15" Type="http://schemas.openxmlformats.org/officeDocument/2006/relationships/hyperlink" Target="https://www.urban.org/research/publication/why-are-there-gaps-lgbtq-homeownershi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