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Responses to the Supreme Court’s Trans Rights Ruling: What It Means and What Comes Next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Shocked by the Supreme Court’s recent decision, advocates and families are regrouping , here's what happened, why it matters across states, and practical ways to protect trans rights now. This matters to parents, schools, lawyers and anyone who wants equal protection under the 14th Amendment.</w:t>
      </w:r>
      <w:r/>
    </w:p>
    <w:p>
      <w:r/>
      <w:r>
        <w:t>Essential Takeaways</w:t>
      </w:r>
      <w:r/>
      <w:r/>
    </w:p>
    <w:p>
      <w:pPr>
        <w:pStyle w:val="ListBullet"/>
        <w:spacing w:line="240" w:lineRule="auto"/>
        <w:ind w:left="720"/>
      </w:pPr>
      <w:r/>
      <w:r>
        <w:rPr>
          <w:b/>
        </w:rPr>
        <w:t>Ruling impact:</w:t>
      </w:r>
      <w:r>
        <w:t xml:space="preserve"> The Supreme Court’s decision narrows federal protections for transgender people in high-profile areas like school sports and medical care, affecting laws nationwide but leaving room for state-level action. </w:t>
      </w:r>
      <w:r/>
    </w:p>
    <w:p>
      <w:pPr>
        <w:pStyle w:val="ListBullet"/>
        <w:spacing w:line="240" w:lineRule="auto"/>
        <w:ind w:left="720"/>
      </w:pPr>
      <w:r/>
      <w:r>
        <w:rPr>
          <w:b/>
        </w:rPr>
        <w:t>Wave of state laws:</w:t>
      </w:r>
      <w:r>
        <w:t xml:space="preserve"> Since 2022, thousands of anti-LGBTQ+ bills have been filed, hundreds enacted, and many specifically target trans people , so the pressure is largely at statehouses. </w:t>
      </w:r>
      <w:r/>
    </w:p>
    <w:p>
      <w:pPr>
        <w:pStyle w:val="ListBullet"/>
        <w:spacing w:line="240" w:lineRule="auto"/>
        <w:ind w:left="720"/>
      </w:pPr>
      <w:r/>
      <w:r>
        <w:rPr>
          <w:b/>
        </w:rPr>
        <w:t>State courts matter:</w:t>
      </w:r>
      <w:r>
        <w:t xml:space="preserve"> Successful challenges in Montana and elsewhere show state courts can and do restore rights when federal relief is uncertain; it’s a useful, partial route. </w:t>
      </w:r>
      <w:r/>
    </w:p>
    <w:p>
      <w:pPr>
        <w:pStyle w:val="ListBullet"/>
        <w:spacing w:line="240" w:lineRule="auto"/>
        <w:ind w:left="720"/>
      </w:pPr>
      <w:r/>
      <w:r>
        <w:rPr>
          <w:b/>
        </w:rPr>
        <w:t>Long game strategy:</w:t>
      </w:r>
      <w:r>
        <w:t xml:space="preserve"> Civil-rights groups emphasise persistence , dissenting opinions and past reversals show today’s loss can become tomorrow’s victory. </w:t>
      </w:r>
      <w:r/>
    </w:p>
    <w:p>
      <w:pPr>
        <w:pStyle w:val="ListBullet"/>
        <w:spacing w:line="240" w:lineRule="auto"/>
        <w:ind w:left="720"/>
      </w:pPr>
      <w:r/>
      <w:r>
        <w:rPr>
          <w:b/>
        </w:rPr>
        <w:t>Practical steps:</w:t>
      </w:r>
      <w:r>
        <w:t xml:space="preserve"> Families and allies should document discrimination, seek local counsel, engage schools, and support organisations bringing strategic cases.</w:t>
      </w:r>
      <w:r/>
      <w:r/>
    </w:p>
    <w:p>
      <w:pPr>
        <w:pStyle w:val="Heading2"/>
      </w:pPr>
      <w:r>
        <w:t>What the decision actually changed and what stayed the same</w:t>
      </w:r>
      <w:r/>
    </w:p>
    <w:p>
      <w:r/>
      <w:r>
        <w:t>The ruling from the high court shifted the legal landscape for transgender people, particularly around participation in sports and access to certain medical treatments, and it left many questions unresolved. The effect is immediate in some states and interpretive in others, so you’ll feel it differently depending on where you live. Coverage in outlets like Axios has already mapped some of the legal contours and reactions. For families this feels raw , a quiet tension in the school corridor, a stiffer tone at the clinic , because the practical access to services and recognition can change overnight. The decision doesn’t erase all protections, but it narrows federal guardrails, prompting more fights in state courts and legislatures.</w:t>
      </w:r>
      <w:r/>
    </w:p>
    <w:p>
      <w:pPr>
        <w:pStyle w:val="Heading2"/>
      </w:pPr>
      <w:r>
        <w:t>Why advocates say they had no real choice but to litigate</w:t>
      </w:r>
      <w:r/>
    </w:p>
    <w:p>
      <w:r/>
      <w:r>
        <w:t>Advocates argue they were forced into the courtroom by a tidal wave of restrictive laws introduced around the country. Thousands of bills have been filed since 2022, and scores have passed; many target transgender people specifically. That’s not a matter of strategy; it’s a reaction to an organised political offensive. Kevin Jennings of Lambda Legal framed this as a “choiceless choice” , litigate in a federal system that looked unfavourable, or let harmful laws stand. For campaigners and families, failing to contest those laws wasn’t an option. The point underlines why litigation, even with long odds, remains a core tool alongside lobbying and public education.</w:t>
      </w:r>
      <w:r/>
    </w:p>
    <w:p>
      <w:pPr>
        <w:pStyle w:val="Heading2"/>
      </w:pPr>
      <w:r>
        <w:t>State courts and wins that matter , Montana as an example</w:t>
      </w:r>
      <w:r/>
    </w:p>
    <w:p>
      <w:r/>
      <w:r>
        <w:t>When federal doors seemed less welcoming, advocates doubled down on state courts and won meaningful victories. Montana’s recent cases show how state judiciaries can protect trans people from identity document restrictions and healthcare bans. The ACLU and Lambda Legal secured wins that restored access in concrete ways. That approach mirrors tactics used successfully in the marriage-equality era: pick cases that test local law, build record, and use state constitutional protections when federal claims are shaky. If you’re a parent or school leader, this means paying attention to your state supreme court and supporting local legal teams , their rulings will often determine day-to-day realities.</w:t>
      </w:r>
      <w:r/>
    </w:p>
    <w:p>
      <w:pPr>
        <w:pStyle w:val="Heading2"/>
      </w:pPr>
      <w:r>
        <w:t>What families and schools can do now , practical, immediate steps</w:t>
      </w:r>
      <w:r/>
    </w:p>
    <w:p>
      <w:r/>
      <w:r>
        <w:t>If you’re worried about a child’s access to sports, healthcare or records, start with documentation. Keep copies of medical notes, school communications, and any disciplinary or exclusionary actions. Reach out to your local civil-rights groups for advice , they can connect you to counsel and template letters for schools. Schools should update policies, train staff on inclusive practices, and create transparent complaint paths. Health providers ought to review their consent and privacy protocols. These aren’t glamorous steps, but they’re the ones that protect kids in the here and now.</w:t>
      </w:r>
      <w:r/>
    </w:p>
    <w:p>
      <w:pPr>
        <w:pStyle w:val="Heading2"/>
      </w:pPr>
      <w:r>
        <w:t>The long view: why defeats can seed future wins</w:t>
      </w:r>
      <w:r/>
    </w:p>
    <w:p>
      <w:r/>
      <w:r>
        <w:t>Civil-rights history teaches that setbacks aren’t always permanent. As Jennings and others note, today’s dissenting reasoning can become tomorrow’s majority. Think of how past Supreme Court losses were reversed with sustained public pressure, strategic litigation and changing social attitudes. So expect a sustained, multi-front response: litigation in state and federal courts, legislative advocacy, and cultural work to shift public opinion. The fight is messy and slow, but history suggests persistence pays off.</w:t>
      </w:r>
      <w:r/>
    </w:p>
    <w:p>
      <w:r/>
      <w:r>
        <w:t>It's a small change in legal doctrine that will require big, steady work , and plenty of local attention.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1">
        <w:r>
          <w:rPr>
            <w:color w:val="0000EE"/>
            <w:u w:val="single"/>
          </w:rPr>
          <w:t>[3]</w:t>
        </w:r>
      </w:hyperlink>
      <w:r>
        <w:t xml:space="preserve">- Paragraph 3: </w:t>
      </w:r>
      <w:hyperlink r:id="rId10">
        <w:r>
          <w:rPr>
            <w:color w:val="0000EE"/>
            <w:u w:val="single"/>
          </w:rPr>
          <w:t>[2]</w:t>
        </w:r>
      </w:hyperlink>
      <w:r>
        <w:t xml:space="preserve">, </w:t>
      </w:r>
      <w:hyperlink r:id="rId11">
        <w:r>
          <w:rPr>
            <w:color w:val="0000EE"/>
            <w:u w:val="single"/>
          </w:rPr>
          <w:t>[3]</w:t>
        </w:r>
      </w:hyperlink>
      <w:r>
        <w:t xml:space="preserve">- Paragraph 4: </w:t>
      </w:r>
      <w:hyperlink r:id="rId12">
        <w:r>
          <w:rPr>
            <w:color w:val="0000EE"/>
            <w:u w:val="single"/>
          </w:rPr>
          <w:t>[4]</w:t>
        </w:r>
      </w:hyperlink>
      <w:r>
        <w:t xml:space="preserve">, </w:t>
      </w:r>
      <w:hyperlink r:id="rId13">
        <w:r>
          <w:rPr>
            <w:color w:val="0000EE"/>
            <w:u w:val="single"/>
          </w:rPr>
          <w:t>[5]</w:t>
        </w:r>
      </w:hyperlink>
      <w:r>
        <w:t xml:space="preserve">- Paragraph 5: </w:t>
      </w:r>
      <w:hyperlink r:id="rId14">
        <w:r>
          <w:rPr>
            <w:color w:val="0000EE"/>
            <w:u w:val="single"/>
          </w:rPr>
          <w:t>[6]</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https://www.advocate.com/opinion/kevin-jennings-trans-rights-ruling</w:t>
        </w:r>
      </w:hyperlink>
      <w:r>
        <w:t xml:space="preserve"> - Please view link - unable to able to access data</w:t>
      </w:r>
      <w:r/>
    </w:p>
    <w:p>
      <w:pPr>
        <w:pStyle w:val="ListNumber"/>
        <w:spacing w:line="240" w:lineRule="auto"/>
        <w:ind w:left="720"/>
      </w:pPr>
      <w:r/>
      <w:hyperlink r:id="rId10">
        <w:r>
          <w:rPr>
            <w:color w:val="0000EE"/>
            <w:u w:val="single"/>
          </w:rPr>
          <w:t>https://www.axios.com/2026/06/30/supreme-court-transgender-sports-ban-ruling</w:t>
        </w:r>
      </w:hyperlink>
      <w:r>
        <w:t xml:space="preserve"> - On June 30, 2026, the U.S. Supreme Court ruled that states are permitted to ban transgender girls from participating in girls' school sports teams. This decision, in the case West Virginia v. B.P.J., concluded that such state bans do not violate Title IX or the Equal Protection Clause of the Constitution. The case involved 16-year-old Becky Pepper-Jackson, who challenged the West Virginia law after it was enacted just before she began sixth grade. The ruling was supported by a conservative majority, while the dissent criticised the Court for proceeding without fully understanding the factual context. Transgender advocates argue that these bans amount to discrimination based on sex and gender identity. The decision is expected to influence ongoing and future legal battles in other states with similar legislation. President Trump celebrated the ruling, calling it a “BIG WIN” on his social media platform. The case will now return to lower courts for further proceedings.</w:t>
      </w:r>
      <w:r/>
    </w:p>
    <w:p>
      <w:pPr>
        <w:pStyle w:val="ListNumber"/>
        <w:spacing w:line="240" w:lineRule="auto"/>
        <w:ind w:left="720"/>
      </w:pPr>
      <w:r/>
      <w:hyperlink r:id="rId11">
        <w:r>
          <w:rPr>
            <w:color w:val="0000EE"/>
            <w:u w:val="single"/>
          </w:rPr>
          <w:t>https://www.axios.com/2026/07/01/transgender-athlete-supreme-court-fight</w:t>
        </w:r>
      </w:hyperlink>
      <w:r>
        <w:t xml:space="preserve"> - The U.S. Supreme Court has declined to implement a nationwide ban on transgender athletes but upheld state-level restrictions in Idaho and West Virginia that bar transgender girls from participating on girls' sports teams. This decision means that transgender-inclusive sports policies can remain in place in some states, prompting upcoming legal battles as states and schools defend these policies amid opposition from the Trump administration. The ruling supports the stance that these bans do not violate Title IX or equal protection clauses. Currently, 27 states have laws blocking transgender women and girls from girls’ sports, reflecting a broad legislative trend. The NCAA also tightened its rules in 2025 following a Trump executive order. Civil rights advocates argue these bans are based on harmful stereotypes and urge supportive states to challenge such narratives. The White House has praised the ruling, claiming it aligns legal reasoning with the administration’s policies.</w:t>
      </w:r>
      <w:r/>
    </w:p>
    <w:p>
      <w:pPr>
        <w:pStyle w:val="ListNumber"/>
        <w:spacing w:line="240" w:lineRule="auto"/>
        <w:ind w:left="720"/>
      </w:pPr>
      <w:r/>
      <w:hyperlink r:id="rId12">
        <w:r>
          <w:rPr>
            <w:color w:val="0000EE"/>
            <w:u w:val="single"/>
          </w:rPr>
          <w:t>https://www.aclu.org/court-cases?location=MT</w:t>
        </w:r>
      </w:hyperlink>
      <w:r>
        <w:t xml:space="preserve"> - The American Civil Liberties Union (ACLU) has been actively involved in several legal cases in Montana concerning LGBTQ+ rights. Notably, in 'Kalarchik v. State of Montana', the ACLU challenged policies that barred transgender individuals from obtaining accurate sex designations on their birth certificates and driver’s licenses. The Montana Supreme Court upheld a District Court order temporarily preventing the enforcement of these policies, ensuring that transgender Montanans continued to have access to accurate identity documents while the case proceeded. Additionally, in 'Marquez v. State of Montana', the ACLU represented transgender individuals challenging a law that made it difficult to correct the sex designation on birth certificates without undergoing surgical procedures. The case asserted that the law violated constitutional rights to privacy, equal protection, and due process.</w:t>
      </w:r>
      <w:r/>
    </w:p>
    <w:p>
      <w:pPr>
        <w:pStyle w:val="ListNumber"/>
        <w:spacing w:line="240" w:lineRule="auto"/>
        <w:ind w:left="720"/>
      </w:pPr>
      <w:r/>
      <w:hyperlink r:id="rId13">
        <w:r>
          <w:rPr>
            <w:color w:val="0000EE"/>
            <w:u w:val="single"/>
          </w:rPr>
          <w:t>https://www.aclumontana.org/cases/marquez-v-state-montana/</w:t>
        </w:r>
      </w:hyperlink>
      <w:r>
        <w:t xml:space="preserve"> - In 'Marquez v. State of Montana', the ACLU of Montana, along with the ACLU, represented transgender individuals challenging Senate Bill 280, which required transgender people to obtain a court order indicating that their sex had been changed by surgical procedure before correcting the sex designation on their birth certificates. The plaintiffs argued that this law violated their constitutional rights to privacy, equal protection, and due process. The case highlighted the difficulties transgender individuals faced in obtaining accurate identity documents and the legal barriers imposed by the state.</w:t>
      </w:r>
      <w:r/>
    </w:p>
    <w:p>
      <w:pPr>
        <w:pStyle w:val="ListNumber"/>
        <w:spacing w:line="240" w:lineRule="auto"/>
        <w:ind w:left="720"/>
      </w:pPr>
      <w:r/>
      <w:hyperlink r:id="rId14">
        <w:r>
          <w:rPr>
            <w:color w:val="0000EE"/>
            <w:u w:val="single"/>
          </w:rPr>
          <w:t>https://www.aclumontana.org/cases/kalarchik-v-state-montana/</w:t>
        </w:r>
      </w:hyperlink>
      <w:r>
        <w:t xml:space="preserve"> - In 'Kalarchik v. State of Montana', the ACLU of Montana, along with the ACLU, represented transgender individuals challenging policies that barred them from obtaining accurate sex designations on their birth certificates and driver’s licenses. The Montana Supreme Court upheld a District Court order temporarily preventing the enforcement of these policies, ensuring that transgender Montanans continued to have access to accurate identity documents while the case proceeded. This case underscored the legal challenges transgender individuals face in obtaining accurate identity documents and the role of the ACLU in advocating for their rights.</w:t>
      </w:r>
      <w:r/>
    </w:p>
    <w:p>
      <w:pPr>
        <w:pStyle w:val="ListNumber"/>
        <w:spacing w:line="240" w:lineRule="auto"/>
        <w:ind w:left="720"/>
      </w:pPr>
      <w:r/>
      <w:hyperlink r:id="rId15">
        <w:r>
          <w:rPr>
            <w:color w:val="0000EE"/>
            <w:u w:val="single"/>
          </w:rPr>
          <w:t>https://www.aclumontana.org/cases/cross-v-state-montana</w:t>
        </w:r>
      </w:hyperlink>
      <w:r>
        <w:t xml:space="preserve"> - In 'Cross v. State of Montana', the ACLU of Montana, along with the ACLU, represented transgender adolescents, their parents, and medical providers challenging a 2023 Montana law that banned gender-affirming care for transgender youth. The plaintiffs argued that the law violated their rights under the Montana Constitution, including the right to equal protection, the right to access medical care, and the right of parents to direct the upbringing of their children. This case highlighted the ongoing legal battles over access to gender-affirming care for transgender youth in Montana.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dvocate.com/opinion/kevin-jennings-trans-rights-ruling" TargetMode="External"/><Relationship Id="rId10" Type="http://schemas.openxmlformats.org/officeDocument/2006/relationships/hyperlink" Target="https://www.axios.com/2026/06/30/supreme-court-transgender-sports-ban-ruling" TargetMode="External"/><Relationship Id="rId11" Type="http://schemas.openxmlformats.org/officeDocument/2006/relationships/hyperlink" Target="https://www.axios.com/2026/07/01/transgender-athlete-supreme-court-fight" TargetMode="External"/><Relationship Id="rId12" Type="http://schemas.openxmlformats.org/officeDocument/2006/relationships/hyperlink" Target="https://www.aclu.org/court-cases?location=MT" TargetMode="External"/><Relationship Id="rId13" Type="http://schemas.openxmlformats.org/officeDocument/2006/relationships/hyperlink" Target="https://www.aclumontana.org/cases/marquez-v-state-montana/" TargetMode="External"/><Relationship Id="rId14" Type="http://schemas.openxmlformats.org/officeDocument/2006/relationships/hyperlink" Target="https://www.aclumontana.org/cases/kalarchik-v-state-montana/" TargetMode="External"/><Relationship Id="rId15" Type="http://schemas.openxmlformats.org/officeDocument/2006/relationships/hyperlink" Target="https://www.aclumontana.org/cases/cross-v-state-montan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