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Queer Museum Guide in Italy: Why 'Musei, genere e queerness' Matters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culture are turning a fresh page: Nicole Moolhuijsen’s Musei, genere e queerness has landed in Italy, offering the country’s first practical LGBTQ+ guide to visiting and interpreting museum spaces, and prompting a lively debate about how museums tell stories and who those stories serve.</w:t>
      </w:r>
      <w:r/>
    </w:p>
    <w:p>
      <w:r/>
      <w:r>
        <w:t>Essential Takeaways</w:t>
      </w:r>
      <w:r/>
      <w:r/>
    </w:p>
    <w:p>
      <w:pPr>
        <w:pStyle w:val="ListBullet"/>
        <w:spacing w:line="240" w:lineRule="auto"/>
        <w:ind w:left="720"/>
      </w:pPr>
      <w:r/>
      <w:r>
        <w:rPr>
          <w:b/>
        </w:rPr>
        <w:t>New guide:</w:t>
      </w:r>
      <w:r>
        <w:t xml:space="preserve"> Musei, genere e queerness is the first practical LGBTQ+ guide for Italian museums, curated by Nicole Moolhuijsen.</w:t>
      </w:r>
      <w:r/>
    </w:p>
    <w:p>
      <w:pPr>
        <w:pStyle w:val="ListBullet"/>
        <w:spacing w:line="240" w:lineRule="auto"/>
        <w:ind w:left="720"/>
      </w:pPr>
      <w:r/>
      <w:r>
        <w:rPr>
          <w:b/>
        </w:rPr>
        <w:t>Accessibility focus:</w:t>
      </w:r>
      <w:r>
        <w:t xml:space="preserve"> The book aims to make museum spaces more welcoming to trans and non‑binary visitors and to challenge binary gender narratives.</w:t>
      </w:r>
      <w:r/>
    </w:p>
    <w:p>
      <w:pPr>
        <w:pStyle w:val="ListBullet"/>
        <w:spacing w:line="240" w:lineRule="auto"/>
        <w:ind w:left="720"/>
      </w:pPr>
      <w:r/>
      <w:r>
        <w:rPr>
          <w:b/>
        </w:rPr>
        <w:t>Collaborative roots:</w:t>
      </w:r>
      <w:r>
        <w:t xml:space="preserve"> The guide grew from work between ICOM Italia and the Research Center for Museums and Galleries at the University of Leicester.</w:t>
      </w:r>
      <w:r/>
    </w:p>
    <w:p>
      <w:pPr>
        <w:pStyle w:val="ListBullet"/>
        <w:spacing w:line="240" w:lineRule="auto"/>
        <w:ind w:left="720"/>
      </w:pPr>
      <w:r/>
      <w:r>
        <w:rPr>
          <w:b/>
        </w:rPr>
        <w:t>Practical tools:</w:t>
      </w:r>
      <w:r>
        <w:t xml:space="preserve"> It suggests interpretive strategies, exhibition labels and programming tweaks to broaden representation and inclusion.</w:t>
      </w:r>
      <w:r/>
    </w:p>
    <w:p>
      <w:pPr>
        <w:pStyle w:val="ListBullet"/>
        <w:spacing w:line="240" w:lineRule="auto"/>
        <w:ind w:left="720"/>
      </w:pPr>
      <w:r/>
      <w:r>
        <w:rPr>
          <w:b/>
        </w:rPr>
        <w:t>Public debate:</w:t>
      </w:r>
      <w:r>
        <w:t xml:space="preserve"> The book has sparked discussion about historical interpretation, funding priorities and how museums balance conservation with social roles.</w:t>
      </w:r>
      <w:r/>
      <w:r/>
    </w:p>
    <w:p>
      <w:pPr>
        <w:pStyle w:val="Heading2"/>
      </w:pPr>
      <w:r>
        <w:t>What the guide actually does , practical, hands‑on, and a little bit radical</w:t>
      </w:r>
      <w:r/>
    </w:p>
    <w:p>
      <w:r/>
      <w:r>
        <w:t>The strongest point is simple: this is a practical manual, not an academic manifesto, and it feels usable when you pick it up. The pages offer concrete suggestions , from label wording to exhibition narratives , designed to make displays resonate with people who’ve been overlooked or misrepresented. According to ICOM Italia’s project outlines, the guide comes from a sustained effort to pair museum practice with gender and queer theory, so it’s rooted in real-world museum work rather than abstract polemic. If you run a local museum, the book reads like a toolkit you could start using next week.</w:t>
      </w:r>
      <w:r/>
    </w:p>
    <w:p>
      <w:pPr>
        <w:pStyle w:val="Heading2"/>
      </w:pPr>
      <w:r>
        <w:t>Why museums are the new front line in cultural conversation</w:t>
      </w:r>
      <w:r/>
    </w:p>
    <w:p>
      <w:r/>
      <w:r>
        <w:t>Museums have always curated memory, but the guide insists they also shape who belongs in that memory. That point has irritated some commentators who see such efforts as rewriting history or diverting funding. Others argue, sensibly, that interpretation always changes: we don’t just conserve objects, we ask what they mean today. The collaboration between ICOM Italia and the University of Leicester’s Research Center for Museums and Galleries shows this isn’t a bolt‑on trend; it’s part of an international conversation about inclusion and the social role of collections. For visitors, that can mean exhibitions that feel more relevant and less like a catalogue of famous men.</w:t>
      </w:r>
      <w:r/>
    </w:p>
    <w:p>
      <w:pPr>
        <w:pStyle w:val="Heading2"/>
      </w:pPr>
      <w:r>
        <w:t>How the guide helps trans and non‑binary visitors feel at home</w:t>
      </w:r>
      <w:r/>
    </w:p>
    <w:p>
      <w:r/>
      <w:r>
        <w:t>Small changes can make a big difference. The guide highlights practical adjustments , clearer signage, gender‑neutral facilities, staff training on respectful language , which create quieter, welcomeable spaces for people who often feel erased. There are also interpretive strategies: offering multiple readings of an object, foregrounding stories that resist domestic/masculine stereotypes, and making space for contemporary voices. Museums that try even a few of these steps often report warmer feedback from underrepresented communities and quieter, more engaged visits from the general public.</w:t>
      </w:r>
      <w:r/>
    </w:p>
    <w:p>
      <w:pPr>
        <w:pStyle w:val="Heading2"/>
      </w:pPr>
      <w:r>
        <w:t>The pushback: who’s worried and why it matters</w:t>
      </w:r>
      <w:r/>
    </w:p>
    <w:p>
      <w:r/>
      <w:r>
        <w:t>Not everyone’s happy. Critics paint the effort as political or as an attempt to “re‑write” the past, and some see museum projects as vehicles for securing extra funding rather than improving visitor experience. Those concerns remind us museums must balance scholarly rigour, conservation duties and public trust. Yet the guide’s authors stress context: they’re asking museums to expand interpretation, not to erase facts. The debate is healthy , it forces museums to justify interpretive choices more clearly and to engage audiences in what being “public” really means.</w:t>
      </w:r>
      <w:r/>
    </w:p>
    <w:p>
      <w:pPr>
        <w:pStyle w:val="Heading2"/>
      </w:pPr>
      <w:r>
        <w:t>Where this fits in the wider museum world</w:t>
      </w:r>
      <w:r/>
    </w:p>
    <w:p>
      <w:r/>
      <w:r>
        <w:t>This guide isn’t an isolated experiment; it’s part of a growing European dialogue on inclusion and access that organisations such as NEMO and ICOM have been promoting. European networks are sharing case studies and running webinars on queer museology, so Italian institutions joining the conversation is logical and timely. For museum professionals, the book offers a clear entry point into a practice that’s increasingly expected by funders and visitors alike. For the public, it promises exhibitions that reflect a fuller range of human experience.</w:t>
      </w:r>
      <w:r/>
    </w:p>
    <w:p>
      <w:r/>
      <w:r>
        <w:t>It's a small change that can make every visit feel more honest and more welcoming.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[4]</w:t>
        </w:r>
      </w:hyperlink>
      <w:r>
        <w:t xml:space="preserve">, </w:t>
      </w:r>
      <w:hyperlink r:id="rId13">
        <w:r>
          <w:rPr>
            <w:color w:val="0000EE"/>
            <w:u w:val="single"/>
          </w:rPr>
          <w:t>[7]</w:t>
        </w:r>
      </w:hyperlink>
      <w:r>
        <w:t xml:space="preserve">- Paragraph 3: </w:t>
      </w:r>
      <w:hyperlink r:id="rId12">
        <w:r>
          <w:rPr>
            <w:color w:val="0000EE"/>
            <w:u w:val="single"/>
          </w:rPr>
          <w:t>[4]</w:t>
        </w:r>
      </w:hyperlink>
      <w:r>
        <w:t xml:space="preserve">, </w:t>
      </w:r>
      <w:hyperlink r:id="rId10">
        <w:r>
          <w:rPr>
            <w:color w:val="0000EE"/>
            <w:u w:val="single"/>
          </w:rPr>
          <w:t>[2]</w:t>
        </w:r>
      </w:hyperlink>
      <w:r>
        <w:t xml:space="preserve">- Paragraph 4: </w:t>
      </w:r>
      <w:hyperlink r:id="rId9">
        <w:r>
          <w:rPr>
            <w:color w:val="0000EE"/>
            <w:u w:val="single"/>
          </w:rPr>
          <w:t>[1]</w:t>
        </w:r>
      </w:hyperlink>
      <w:r>
        <w:t xml:space="preserve">, </w:t>
      </w:r>
      <w:hyperlink r:id="rId13">
        <w:r>
          <w:rPr>
            <w:color w:val="0000EE"/>
            <w:u w:val="single"/>
          </w:rPr>
          <w:t>[7]</w:t>
        </w:r>
      </w:hyperlink>
      <w:r>
        <w:t xml:space="preserve">- Paragraph 5: </w:t>
      </w:r>
      <w:hyperlink r:id="rId14">
        <w:r>
          <w:rPr>
            <w:color w:val="0000EE"/>
            <w:u w:val="single"/>
          </w:rPr>
          <w:t>[6]</w:t>
        </w:r>
      </w:hyperlink>
      <w:r>
        <w:t xml:space="preserve">, </w:t>
      </w:r>
      <w:hyperlink r:id="rId15">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https://www.liberoquotidiano.it/news/italia/48445637/abbaglio-estate-prima-guida-queer-musei/</w:t>
        </w:r>
      </w:hyperlink>
      <w:r>
        <w:t xml:space="preserve"> - Please view link - unable to able to access data</w:t>
      </w:r>
      <w:r/>
    </w:p>
    <w:p>
      <w:pPr>
        <w:pStyle w:val="ListNumber"/>
        <w:spacing w:line="240" w:lineRule="auto"/>
        <w:ind w:left="720"/>
      </w:pPr>
      <w:r/>
      <w:hyperlink r:id="rId10">
        <w:r>
          <w:rPr>
            <w:color w:val="0000EE"/>
            <w:u w:val="single"/>
          </w:rPr>
          <w:t>https://www.isprambiente.gov.it/it/attivita/museo/calendario-eventi/2024/musei-genere-e-queerness-webinar-a-cura-del-gdl-di-icom-italia-201cgenere-e-diritti-lgbtq-201d</w:t>
        </w:r>
      </w:hyperlink>
      <w:r>
        <w:t xml:space="preserve"> - This article discusses a webinar organised by the ICOM Italy Working Group 'Gender and LGBTQ+ Rights' on June 14, 2024. The event aimed to introduce the concept of queer museology in Italy, highlighting its characteristics from international debates, gender studies, and practices. The programme featured various speakers, including Nicole Moolhuijsen, a researcher at the University of Leicester and coordinator of the ICOM Italy Working Group 'Gender and LGBTQ+ Rights'.</w:t>
      </w:r>
      <w:r/>
    </w:p>
    <w:p>
      <w:pPr>
        <w:pStyle w:val="ListNumber"/>
        <w:spacing w:line="240" w:lineRule="auto"/>
        <w:ind w:left="720"/>
      </w:pPr>
      <w:r/>
      <w:hyperlink r:id="rId11">
        <w:r>
          <w:rPr>
            <w:color w:val="0000EE"/>
            <w:u w:val="single"/>
          </w:rPr>
          <w:t>https://queerographies.com/2026/01/28/musei-generi-e-queerness/</w:t>
        </w:r>
      </w:hyperlink>
      <w:r>
        <w:t xml:space="preserve"> - An article introducing Nicole Moolhuijsen, a researcher, consultant, and coordinator of the ICOM Italy Working Group 'Gender and LGBTQ+ Rights'. The piece highlights her ongoing PhD in Museum Studies at the University of Leicester, focusing on gender and queer issues. It also mentions her previous work in accessibility, interpretation, and the social role of culture, as well as her collaborations with various Italian museum institutions on participatory projects.</w:t>
      </w:r>
      <w:r/>
    </w:p>
    <w:p>
      <w:pPr>
        <w:pStyle w:val="ListNumber"/>
        <w:spacing w:line="240" w:lineRule="auto"/>
        <w:ind w:left="720"/>
      </w:pPr>
      <w:r/>
      <w:hyperlink r:id="rId12">
        <w:r>
          <w:rPr>
            <w:color w:val="0000EE"/>
            <w:u w:val="single"/>
          </w:rPr>
          <w:t>https://www.icom-italia.org/wp-content/uploads/2024/05/Museologia-queer-programma-2.pdf</w:t>
        </w:r>
      </w:hyperlink>
      <w:r>
        <w:t xml:space="preserve"> - A PDF document detailing the programme of the 'Musei, genere e queerness' webinar held on June 14, 2024, organised by the ICOM Italy Working Group 'Gender and LGBTQ+ Rights'. The document outlines the event's objectives, which included introducing the characteristics of queer museology in Italy, discussing international debates, gender studies, and practices, and featuring interdisciplinary discussions on gender, sexuality, and queer studies.</w:t>
      </w:r>
      <w:r/>
    </w:p>
    <w:p>
      <w:pPr>
        <w:pStyle w:val="ListNumber"/>
        <w:spacing w:line="240" w:lineRule="auto"/>
        <w:ind w:left="720"/>
      </w:pPr>
      <w:r/>
      <w:hyperlink r:id="rId15">
        <w:r>
          <w:rPr>
            <w:color w:val="0000EE"/>
            <w:u w:val="single"/>
          </w:rPr>
          <w:t>https://www.icom-italia.org/diventa-socio-affiliato-ai-gruppi-di-lavoro/</w:t>
        </w:r>
      </w:hyperlink>
      <w:r>
        <w:t xml:space="preserve"> - A page on the ICOM Italy website providing information on how to become an affiliated member of the Working Groups. It includes a form for interested individuals to apply, specifying their professional qualifications, the institution they work for, and their motivation for joining a particular Working Group, such as the 'Gender and LGBTQ+ Rights' group led by Nicole Moolhuijsen.</w:t>
      </w:r>
      <w:r/>
    </w:p>
    <w:p>
      <w:pPr>
        <w:pStyle w:val="ListNumber"/>
        <w:spacing w:line="240" w:lineRule="auto"/>
        <w:ind w:left="720"/>
      </w:pPr>
      <w:r/>
      <w:hyperlink r:id="rId14">
        <w:r>
          <w:rPr>
            <w:color w:val="0000EE"/>
            <w:u w:val="single"/>
          </w:rPr>
          <w:t>https://www.ne-mo.org/news-events/article/queering-the-museum-nemo-contributes-to-european-dialogue-on-inclusion/</w:t>
        </w:r>
      </w:hyperlink>
      <w:r>
        <w:t xml:space="preserve"> - An article discussing NEMO's contribution to the European dialogue on inclusion in museums. It highlights the second part of the morning focusing on co-design and collaboration with queer and identity communities in cultural heritage contexts. The session fostered collective reflection on challenges, opportunities, and open questions, encouraging dialogue between practitioners, researchers, and community representatives.</w:t>
      </w:r>
      <w:r/>
    </w:p>
    <w:p>
      <w:pPr>
        <w:pStyle w:val="ListNumber"/>
        <w:spacing w:line="240" w:lineRule="auto"/>
        <w:ind w:left="720"/>
      </w:pPr>
      <w:r/>
      <w:hyperlink r:id="rId13">
        <w:r>
          <w:rPr>
            <w:color w:val="0000EE"/>
            <w:u w:val="single"/>
          </w:rPr>
          <w:t>https://www.icom-italia.org/wp-content/uploads/2025/12/Report-GDL-2023-2025-2.pdf</w:t>
        </w:r>
      </w:hyperlink>
      <w:r>
        <w:t xml:space="preserve"> - A report detailing the activities of the ICOM Italy Working Groups for the 2023-2025 period. It includes information on the 'Gender and LGBTQ+ Rights' Working Group, coordinated by Nicole Moolhuijsen from the University of Leicester. The report outlines various activities, including webinars, conferences, publications, and collaborations with other organisations, aiming to promote LGBTQ+ rights and inclusion in the museum sector.</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iberoquotidiano.it/news/italia/48445637/abbaglio-estate-prima-guida-queer-musei/" TargetMode="External"/><Relationship Id="rId10" Type="http://schemas.openxmlformats.org/officeDocument/2006/relationships/hyperlink" Target="https://www.isprambiente.gov.it/it/attivita/museo/calendario-eventi/2024/musei-genere-e-queerness-webinar-a-cura-del-gdl-di-icom-italia-201cgenere-e-diritti-lgbtq-201d" TargetMode="External"/><Relationship Id="rId11" Type="http://schemas.openxmlformats.org/officeDocument/2006/relationships/hyperlink" Target="https://queerographies.com/2026/01/28/musei-generi-e-queerness/" TargetMode="External"/><Relationship Id="rId12" Type="http://schemas.openxmlformats.org/officeDocument/2006/relationships/hyperlink" Target="https://www.icom-italia.org/wp-content/uploads/2024/05/Museologia-queer-programma-2.pdf" TargetMode="External"/><Relationship Id="rId13" Type="http://schemas.openxmlformats.org/officeDocument/2006/relationships/hyperlink" Target="https://www.icom-italia.org/wp-content/uploads/2025/12/Report-GDL-2023-2025-2.pdf" TargetMode="External"/><Relationship Id="rId14" Type="http://schemas.openxmlformats.org/officeDocument/2006/relationships/hyperlink" Target="https://www.ne-mo.org/news-events/article/queering-the-museum-nemo-contributes-to-european-dialogue-on-inclusion/" TargetMode="External"/><Relationship Id="rId15" Type="http://schemas.openxmlformats.org/officeDocument/2006/relationships/hyperlink" Target="https://www.icom-italia.org/diventa-socio-affiliato-ai-gruppi-di-lavor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