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Guide to Understanding Federal Moves to Restrict Gender-Affirming Care for Youth</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Watch closely: federal agencies are reshaping how doctors, hospitals and families can access gender-affirming care for young people, and the fallout is already reaching clinics in blue and red states alike. This piece explains who is acting, what they’re demanding, and practical steps families and providers can take.</w:t>
      </w:r>
      <w:r/>
    </w:p>
    <w:p>
      <w:r/>
      <w:r>
        <w:t>Essential Takeaways</w:t>
      </w:r>
      <w:r/>
      <w:r/>
    </w:p>
    <w:p>
      <w:pPr>
        <w:pStyle w:val="ListBullet"/>
        <w:spacing w:line="240" w:lineRule="auto"/>
        <w:ind w:left="720"/>
      </w:pPr>
      <w:r/>
      <w:r>
        <w:rPr>
          <w:b/>
        </w:rPr>
        <w:t>Broad federal push:</w:t>
      </w:r>
      <w:r>
        <w:t xml:space="preserve"> Multiple agencies, including the DOJ, FTC, FDA and HHS, have opened investigations or issued orders targeting gender-affirming care for minors. They’re using subpoenas, lawsuits and regulatory letters. </w:t>
      </w:r>
      <w:r/>
    </w:p>
    <w:p>
      <w:pPr>
        <w:pStyle w:val="ListBullet"/>
        <w:spacing w:line="240" w:lineRule="auto"/>
        <w:ind w:left="720"/>
      </w:pPr>
      <w:r/>
      <w:r>
        <w:rPr>
          <w:b/>
        </w:rPr>
        <w:t>Hospitals under pressure:</w:t>
      </w:r>
      <w:r>
        <w:t xml:space="preserve"> Some children’s hospitals have received civil and grand jury subpoenas for patient records; courts have blocked many demands, but a few cases settled. </w:t>
      </w:r>
      <w:r/>
    </w:p>
    <w:p>
      <w:pPr>
        <w:pStyle w:val="ListBullet"/>
        <w:spacing w:line="240" w:lineRule="auto"/>
        <w:ind w:left="720"/>
      </w:pPr>
      <w:r/>
      <w:r>
        <w:rPr>
          <w:b/>
        </w:rPr>
        <w:t>Professional groups in the crosshairs:</w:t>
      </w:r>
      <w:r>
        <w:t xml:space="preserve"> The FTC sued an international medical association over its standards, and sought internal communications from other societies, prompting First Amendment concerns. </w:t>
      </w:r>
      <w:r/>
    </w:p>
    <w:p>
      <w:pPr>
        <w:pStyle w:val="ListBullet"/>
        <w:spacing w:line="240" w:lineRule="auto"/>
        <w:ind w:left="720"/>
      </w:pPr>
      <w:r/>
      <w:r>
        <w:rPr>
          <w:b/>
        </w:rPr>
        <w:t>Insurance and funding threats:</w:t>
      </w:r>
      <w:r>
        <w:t xml:space="preserve"> HHS proposals and statements have signalled withholding Medicare/Medicaid funds from providers who offer transition care to minors, though judges have paused enforcement in some cases. </w:t>
      </w:r>
      <w:r/>
    </w:p>
    <w:p>
      <w:pPr>
        <w:pStyle w:val="ListBullet"/>
        <w:spacing w:line="240" w:lineRule="auto"/>
        <w:ind w:left="720"/>
      </w:pPr>
      <w:r/>
      <w:r>
        <w:rPr>
          <w:b/>
        </w:rPr>
        <w:t>Practical reality:</w:t>
      </w:r>
      <w:r>
        <w:t xml:space="preserve"> Families face clinic closures, longer travel times, and legal uncertainty; providers must balance confidentiality, compliance and risk management.</w:t>
      </w:r>
      <w:r/>
      <w:r/>
    </w:p>
    <w:p>
      <w:pPr>
        <w:pStyle w:val="Heading2"/>
      </w:pPr>
      <w:r>
        <w:t>Why federal agencies are suddenly focused on youth transition care</w:t>
      </w:r>
      <w:r/>
    </w:p>
    <w:p>
      <w:r/>
      <w:r>
        <w:t>The simplest way to sum it up is: the federal government has turned enforcement tools toward a highly politicised corner of medicine, and that’s rattling clinicians and families. According to reporting, the Justice Department has launched civil and criminal inquiries into off-label prescribing and billing related to puberty blockers and hormones. Judges in several districts have pushed back, describing some demands as overbroad and intrusive. Families notice the quiet: clinics cancelling appointments, programmes pausing intake, and providers asking awkward questions about records and legal exposure.</w:t>
      </w:r>
      <w:r/>
    </w:p>
    <w:p>
      <w:r/>
      <w:r>
        <w:t>This action didn’t spring from a single memo; it follows executive orders and a sustained policy push that has mobilised multiple agencies. Providers and legal advocates say the intensity of federal scrutiny is unprecedented for this kind of paediatric care, and that it risks chilling routine medical practice.</w:t>
      </w:r>
      <w:r/>
    </w:p>
    <w:p>
      <w:pPr>
        <w:pStyle w:val="Heading2"/>
      </w:pPr>
      <w:r>
        <w:t>What the DOJ’s subpoenas mean for hospitals and patient privacy</w:t>
      </w:r>
      <w:r/>
    </w:p>
    <w:p>
      <w:r/>
      <w:r>
        <w:t>The Department of Justice has issued wide-ranging civil subpoenas and, in some instances, grand jury subpoenas seeking names of adolescent patients, staff, and internal communications. In several high-profile cases, district judges blocked or limited those requests, citing worries about privacy and potential chilling effects on care. Yet not every hospital filed a public suit, so researchers can’t rule out whether some data changed hands outside court fights.</w:t>
      </w:r>
      <w:r/>
    </w:p>
    <w:p>
      <w:r/>
      <w:r>
        <w:t>For parents and clinicians, the practical takeaway is to treat patient confidentiality as an active legal front. Hospitals are reviewing record-keeping practices, tightening access controls and engaging counsel more often. If you’re a family worried about privacy, ask clinics how they store and respond to legal requests and whether they’ll notify you before releasing records when possible.</w:t>
      </w:r>
      <w:r/>
    </w:p>
    <w:p>
      <w:pPr>
        <w:pStyle w:val="Heading2"/>
      </w:pPr>
      <w:r>
        <w:t>FTC versus medical associations , a new tactic to shape standards</w:t>
      </w:r>
      <w:r/>
    </w:p>
    <w:p>
      <w:r/>
      <w:r>
        <w:t>The Federal Trade Commission, historically focused on consumer protection, has taken the unusual step of suing a major professional body that issues standards of care. The complaint alleges the association’s guidance allows providers to make unsupported claims to parents, and it sought years of internal communications from multiple medical societies. Courts blocked some of those probes on First Amendment grounds, and the FTC narrowed its focus to one organisation in litigation that has reverberated through the medical world.</w:t>
      </w:r>
      <w:r/>
    </w:p>
    <w:p>
      <w:r/>
      <w:r>
        <w:t>This approach signals a shift: rather than only targeting individual clinicians, regulators are probing the institutions that define best practice. Medical societies are responding defensively, and clinicians say the investigations could deter professional debate and slow the update of clinical guidance.</w:t>
      </w:r>
      <w:r/>
    </w:p>
    <w:p>
      <w:pPr>
        <w:pStyle w:val="Heading2"/>
      </w:pPr>
      <w:r>
        <w:t>FDA letters and the odd case of chest binders</w:t>
      </w:r>
      <w:r/>
    </w:p>
    <w:p>
      <w:r/>
      <w:r>
        <w:t>In a less expected move, the Food and Drug Administration sent warning letters to companies making chest binders, saying they might be unregistered medical devices. That sort of procedural enforcement is unusual for simple, low-risk garments, and the letters didn’t list specific health harms or allege sales to minors as the reason. For now, companies remain in business and the measures seem to be largely compliance threats rather than immediate product bans.</w:t>
      </w:r>
      <w:r/>
    </w:p>
    <w:p>
      <w:r/>
      <w:r>
        <w:t>For users and families, the immediate impact is minimal: binders are still available. But the episode shows how regulatory levers can be applied in surprising ways to items central to trans youth’s everyday well‑being, and it’s another reminder that advocacy and clear product labelling can be vital.</w:t>
      </w:r>
      <w:r/>
    </w:p>
    <w:p>
      <w:pPr>
        <w:pStyle w:val="Heading2"/>
      </w:pPr>
      <w:r>
        <w:t>Insurance, funding and the HHS strategy , when hospitals worry about budgets</w:t>
      </w:r>
      <w:r/>
    </w:p>
    <w:p>
      <w:r/>
      <w:r>
        <w:t>Perhaps the bluntest stick is the prospect of loss of federal health funds. HHS officials have signalled that Medicare and Medicaid payments could be withheld from institutions offering transition-related care to minors, and the agency circulated a rule proposal that would bar coverage for such services in Medicaid and CHIP. Courts have at times stopped enforcement, and litigation is ongoing, yet the threat alone is prompting administrators to reassess services.</w:t>
      </w:r>
      <w:r/>
    </w:p>
    <w:p>
      <w:r/>
      <w:r>
        <w:t>Hospitals depend on federal reimbursements; even a hint of budgetary risk spurs defensive moves. That’s why some hospitals in states where care is legally protected have paused youth programmes: it’s not just ideology, it’s financial risk management. If you’re a provider, document services meticulously and keep billing transparent. If you’re a family, check your state’s laws and ask clinics about contingency plans and financial counselling.</w:t>
      </w:r>
      <w:r/>
    </w:p>
    <w:p>
      <w:pPr>
        <w:pStyle w:val="Heading2"/>
      </w:pPr>
      <w:r>
        <w:t>What families and clinicians can do now , practical steps and outlook</w:t>
      </w:r>
      <w:r/>
    </w:p>
    <w:p>
      <w:r/>
      <w:r>
        <w:t>The landscape feels volatile, but there are concrete steps to reduce disruption. Families should maintain copies of medical records, confirm telehealth options, and learn which neighbouring states have continuing services. Providers ought to review privacy protocols, seek legal advice promptly for subpoenas, and communicate clearly with patients about risks and protections.</w:t>
      </w:r>
      <w:r/>
    </w:p>
    <w:p>
      <w:r/>
      <w:r>
        <w:t>Advocates and legal groups are litigating and lobbying, so policy shifts are possible. The courts have already blocked several federal overreaches, which suggests a longer legal fight rather than immediate, nationwide shutdowns. Still, for many families the short-term problem is access: travel, cost and uncertainty.</w:t>
      </w:r>
      <w:r/>
    </w:p>
    <w:p>
      <w:r/>
      <w:r>
        <w:t>It's a small change that can make every consultation and file safer.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[4]</w:t>
        </w:r>
      </w:hyperlink>
      <w:r>
        <w:t xml:space="preserve">- Paragraph 2: </w:t>
      </w:r>
      <w:hyperlink r:id="rId12">
        <w:r>
          <w:rPr>
            <w:color w:val="0000EE"/>
            <w:u w:val="single"/>
          </w:rPr>
          <w:t>[3]</w:t>
        </w:r>
      </w:hyperlink>
      <w:r>
        <w:t xml:space="preserve">, </w:t>
      </w:r>
      <w:hyperlink r:id="rId13">
        <w:r>
          <w:rPr>
            <w:color w:val="0000EE"/>
            <w:u w:val="single"/>
          </w:rPr>
          <w:t>[5]</w:t>
        </w:r>
      </w:hyperlink>
      <w:r>
        <w:t xml:space="preserve">- Paragraph 3: </w:t>
      </w:r>
      <w:hyperlink r:id="rId14">
        <w:r>
          <w:rPr>
            <w:color w:val="0000EE"/>
            <w:u w:val="single"/>
          </w:rPr>
          <w:t>[7]</w:t>
        </w:r>
      </w:hyperlink>
      <w:r>
        <w:t xml:space="preserve">, </w:t>
      </w:r>
      <w:hyperlink r:id="rId10">
        <w:r>
          <w:rPr>
            <w:color w:val="0000EE"/>
            <w:u w:val="single"/>
          </w:rPr>
          <w:t>[2]</w:t>
        </w:r>
      </w:hyperlink>
      <w:r>
        <w:t xml:space="preserve">- Paragraph 4: </w:t>
      </w:r>
      <w:hyperlink r:id="rId15">
        <w:r>
          <w:rPr>
            <w:color w:val="0000EE"/>
            <w:u w:val="single"/>
          </w:rPr>
          <w:t>[6]</w:t>
        </w:r>
      </w:hyperlink>
      <w:r>
        <w:t xml:space="preserve">, </w:t>
      </w:r>
      <w:hyperlink r:id="rId10">
        <w:r>
          <w:rPr>
            <w:color w:val="0000EE"/>
            <w:u w:val="single"/>
          </w:rPr>
          <w:t>[2]</w:t>
        </w:r>
      </w:hyperlink>
      <w:r>
        <w:t xml:space="preserve">- Paragraph 5: </w:t>
      </w:r>
      <w:hyperlink r:id="rId10">
        <w:r>
          <w:rPr>
            <w:color w:val="0000EE"/>
            <w:u w:val="single"/>
          </w:rPr>
          <w:t>[2]</w:t>
        </w:r>
      </w:hyperlink>
      <w:r>
        <w:t xml:space="preserve">, </w:t>
      </w:r>
      <w:hyperlink r:id="rId15">
        <w:r>
          <w:rPr>
            <w:color w:val="0000EE"/>
            <w:u w:val="single"/>
          </w:rPr>
          <w:t>[6]</w:t>
        </w:r>
      </w:hyperlink>
      <w:r>
        <w:t xml:space="preserve">- Paragraph 6: </w:t>
      </w:r>
      <w:hyperlink r:id="rId11">
        <w:r>
          <w:rPr>
            <w:color w:val="0000EE"/>
            <w:u w:val="single"/>
          </w:rPr>
          <w:t>[4]</w:t>
        </w:r>
      </w:hyperlink>
      <w:r>
        <w:t xml:space="preserve">, </w:t>
      </w:r>
      <w:hyperlink r:id="rId13">
        <w:r>
          <w:rPr>
            <w:color w:val="0000EE"/>
            <w:u w:val="single"/>
          </w:rPr>
          <w:t>[5]</w:t>
        </w:r>
      </w:hyperlink>
      <w:r>
        <w:t xml:space="preserve">- Paragraph 7: </w:t>
      </w:r>
      <w:hyperlink r:id="rId11">
        <w:r>
          <w:rPr>
            <w:color w:val="0000EE"/>
            <w:u w:val="single"/>
          </w:rPr>
          <w:t>[4]</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https://truthout.org/articles/trump-uses-full-weight-of-federal-government-to-restrict-gender-affirming-care/</w:t>
        </w:r>
      </w:hyperlink>
      <w:r>
        <w:t xml:space="preserve"> - Please view link - unable to able to access data</w:t>
      </w:r>
      <w:r/>
    </w:p>
    <w:p>
      <w:pPr>
        <w:pStyle w:val="ListNumber"/>
        <w:spacing w:line="240" w:lineRule="auto"/>
        <w:ind w:left="720"/>
      </w:pPr>
      <w:r/>
      <w:hyperlink r:id="rId10">
        <w:r>
          <w:rPr>
            <w:color w:val="0000EE"/>
            <w:u w:val="single"/>
          </w:rPr>
          <w:t>https://www.npr.org/2025/01/29/nx-s1-5279092/trump-executive-order-gender-affirming-care</w:t>
        </w:r>
      </w:hyperlink>
      <w:r>
        <w:t xml:space="preserve"> - In January 2025, President Trump signed an executive order aiming to restrict gender-affirming medical treatments for individuals under 19. The order prohibits federal funding for such care, including puberty blockers, hormones, and surgeries, citing concerns over potential future regrets and medical costs. This move has been met with criticism from LGBTQ advocacy groups, who argue it discriminates against transgender youth and undermines their healthcare rights.</w:t>
      </w:r>
      <w:r/>
    </w:p>
    <w:p>
      <w:pPr>
        <w:pStyle w:val="ListNumber"/>
        <w:spacing w:line="240" w:lineRule="auto"/>
        <w:ind w:left="720"/>
      </w:pPr>
      <w:r/>
      <w:hyperlink r:id="rId12">
        <w:r>
          <w:rPr>
            <w:color w:val="0000EE"/>
            <w:u w:val="single"/>
          </w:rPr>
          <w:t>https://www.hhs.gov/press-room/eo-restoring-biological-truth.html</w:t>
        </w:r>
      </w:hyperlink>
      <w:r>
        <w:t xml:space="preserve"> - The U.S. Department of Health and Human Services (HHS) Office for Civil Rights (OCR) has rescinded prior guidance on gender-affirming care, aligning with President Trump's executive orders. The rescission supports the administration's policy to end the 'chemical and surgical mutilation of children,' reflecting a significant shift in federal healthcare policy regarding transgender youth.</w:t>
      </w:r>
      <w:r/>
    </w:p>
    <w:p>
      <w:pPr>
        <w:pStyle w:val="ListNumber"/>
        <w:spacing w:line="240" w:lineRule="auto"/>
        <w:ind w:left="720"/>
      </w:pPr>
      <w:r/>
      <w:hyperlink r:id="rId11">
        <w:r>
          <w:rPr>
            <w:color w:val="0000EE"/>
            <w:u w:val="single"/>
          </w:rPr>
          <w:t>https://www.kff.org/other-health/president-trumps-executive-order-on-gender-affirming-care-responses-by-providers-states-and-litigation/</w:t>
        </w:r>
      </w:hyperlink>
      <w:r>
        <w:t xml:space="preserve"> - Following President Trump's executive order restricting gender-affirming care for minors, various states and medical organizations have responded with legal challenges and policy adjustments. The order directs federal agencies to limit such care, leading to confusion and disruption in services. Legal actions are underway to address the constitutionality of the order and its implications for transgender youth healthcare.</w:t>
      </w:r>
      <w:r/>
    </w:p>
    <w:p>
      <w:pPr>
        <w:pStyle w:val="ListNumber"/>
        <w:spacing w:line="240" w:lineRule="auto"/>
        <w:ind w:left="720"/>
      </w:pPr>
      <w:r/>
      <w:hyperlink r:id="rId13">
        <w:r>
          <w:rPr>
            <w:color w:val="0000EE"/>
            <w:u w:val="single"/>
          </w:rPr>
          <w:t>https://www.aamc.org/advocacy-policy/washington-highlights/president-trump-issues-eo-intended-restrict-gender-affirming-care-minors</w:t>
        </w:r>
      </w:hyperlink>
      <w:r>
        <w:t xml:space="preserve"> - President Trump's executive order, titled 'Protecting Children from Chemical and Surgical Mutilation,' aims to prohibit gender-affirming care for individuals under 19. The order directs federal agencies to rescind or amend policies supporting such care, impacting medical institutions and healthcare providers. The AAMC has joined numerous amicus briefs supporting gender-affirming care in response to this directive.</w:t>
      </w:r>
      <w:r/>
    </w:p>
    <w:p>
      <w:pPr>
        <w:pStyle w:val="ListNumber"/>
        <w:spacing w:line="240" w:lineRule="auto"/>
        <w:ind w:left="720"/>
      </w:pPr>
      <w:r/>
      <w:hyperlink r:id="rId15">
        <w:r>
          <w:rPr>
            <w:color w:val="0000EE"/>
            <w:u w:val="single"/>
          </w:rPr>
          <w:t>https://www.axios.com/2026/06/17/ftc-lawsuit-medical-group-trans-care</w:t>
        </w:r>
      </w:hyperlink>
      <w:r>
        <w:t xml:space="preserve"> - The Federal Trade Commission (FTC), along with four states, has filed a lawsuit against the World Professional Association for Transgender Health (WPATH). The suit alleges that WPATH made unsubstantiated and misleading claims regarding the benefits and necessity of transition-related services, particularly for minors, and failed to adequately disclose potential side effects. This legal action is part of the Trump administration's broader efforts to restrict access to gender-affirming care for transgender youths.</w:t>
      </w:r>
      <w:r/>
    </w:p>
    <w:p>
      <w:pPr>
        <w:pStyle w:val="ListNumber"/>
        <w:spacing w:line="240" w:lineRule="auto"/>
        <w:ind w:left="720"/>
      </w:pPr>
      <w:r/>
      <w:hyperlink r:id="rId14">
        <w:r>
          <w:rPr>
            <w:color w:val="0000EE"/>
            <w:u w:val="single"/>
          </w:rPr>
          <w:t>https://www.cbsnews.com/news/judge-blocks-trump-order-restricting-access-to-gender-affirming-care-for-now/</w:t>
        </w:r>
      </w:hyperlink>
      <w:r>
        <w:t xml:space="preserve"> - A federal judge in Maryland issued a temporary restraining order halting President Trump's executive action that restricts access to gender-affirming care for individuals under 19. The judge's decision provides a temporary setback to the administration's efforts to limit such care, allowing legal proceedings to continue.</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truthout.org/articles/trump-uses-full-weight-of-federal-government-to-restrict-gender-affirming-care/" TargetMode="External"/><Relationship Id="rId10" Type="http://schemas.openxmlformats.org/officeDocument/2006/relationships/hyperlink" Target="https://www.npr.org/2025/01/29/nx-s1-5279092/trump-executive-order-gender-affirming-care" TargetMode="External"/><Relationship Id="rId11" Type="http://schemas.openxmlformats.org/officeDocument/2006/relationships/hyperlink" Target="https://www.kff.org/other-health/president-trumps-executive-order-on-gender-affirming-care-responses-by-providers-states-and-litigation/" TargetMode="External"/><Relationship Id="rId12" Type="http://schemas.openxmlformats.org/officeDocument/2006/relationships/hyperlink" Target="https://www.hhs.gov/press-room/eo-restoring-biological-truth.html" TargetMode="External"/><Relationship Id="rId13" Type="http://schemas.openxmlformats.org/officeDocument/2006/relationships/hyperlink" Target="https://www.aamc.org/advocacy-policy/washington-highlights/president-trump-issues-eo-intended-restrict-gender-affirming-care-minors" TargetMode="External"/><Relationship Id="rId14" Type="http://schemas.openxmlformats.org/officeDocument/2006/relationships/hyperlink" Target="https://www.cbsnews.com/news/judge-blocks-trump-order-restricting-access-to-gender-affirming-care-for-now/" TargetMode="External"/><Relationship Id="rId15" Type="http://schemas.openxmlformats.org/officeDocument/2006/relationships/hyperlink" Target="https://www.axios.com/2026/06/17/ftc-lawsuit-medical-group-trans-car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