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Indonesia’s LGBT Bill Debate: What the Draft Could Mean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clarity should note the discussion in Jakarta: lawmakers are opening the door to a potential LGBT bill, sparking debate about rights, public sentiment and national policy, and why academic rigor will decide whether a proposal goes forward. Here’s what to know and how this could affect everyday Indonesians.</w:t>
      </w:r>
      <w:r/>
    </w:p>
    <w:p>
      <w:r/>
      <w:r>
        <w:t>Essential Takeaways</w:t>
      </w:r>
      <w:r/>
      <w:r/>
    </w:p>
    <w:p>
      <w:pPr>
        <w:pStyle w:val="ListBullet"/>
        <w:spacing w:line="240" w:lineRule="auto"/>
        <w:ind w:left="720"/>
      </w:pPr>
      <w:r/>
      <w:r>
        <w:rPr>
          <w:b/>
        </w:rPr>
        <w:t>Parliamentary signal:</w:t>
      </w:r>
      <w:r>
        <w:t xml:space="preserve"> A senior MP in Commission VIII said a proposed LGBT bill could be drafted if a solid academic paper shows a need.</w:t>
      </w:r>
      <w:r/>
    </w:p>
    <w:p>
      <w:pPr>
        <w:pStyle w:val="ListBullet"/>
        <w:spacing w:line="240" w:lineRule="auto"/>
        <w:ind w:left="720"/>
      </w:pPr>
      <w:r/>
      <w:r>
        <w:rPr>
          <w:b/>
        </w:rPr>
        <w:t>Process matters:</w:t>
      </w:r>
      <w:r>
        <w:t xml:space="preserve"> Any law must follow formal legislative steps, academic study, public consultation, drafting, and parliamentary debate.</w:t>
      </w:r>
      <w:r/>
    </w:p>
    <w:p>
      <w:pPr>
        <w:pStyle w:val="ListBullet"/>
        <w:spacing w:line="240" w:lineRule="auto"/>
        <w:ind w:left="720"/>
      </w:pPr>
      <w:r/>
      <w:r>
        <w:rPr>
          <w:b/>
        </w:rPr>
        <w:t>Context:</w:t>
      </w:r>
      <w:r>
        <w:t xml:space="preserve"> The discussion follows a 2025 presidential defence policy that listed LGBT culture as a non-military threat, which has inflamed public debate.</w:t>
      </w:r>
      <w:r/>
    </w:p>
    <w:p>
      <w:pPr>
        <w:pStyle w:val="ListBullet"/>
        <w:spacing w:line="240" w:lineRule="auto"/>
        <w:ind w:left="720"/>
      </w:pPr>
      <w:r/>
      <w:r>
        <w:rPr>
          <w:b/>
        </w:rPr>
        <w:t>Practical impact:</w:t>
      </w:r>
      <w:r>
        <w:t xml:space="preserve"> For now there’s no formal bill submission; outcome depends on research, public input and political will.</w:t>
      </w:r>
      <w:r/>
    </w:p>
    <w:p>
      <w:pPr>
        <w:pStyle w:val="ListBullet"/>
        <w:spacing w:line="240" w:lineRule="auto"/>
        <w:ind w:left="720"/>
      </w:pPr>
      <w:r/>
      <w:r>
        <w:rPr>
          <w:b/>
        </w:rPr>
        <w:t>Emotional cue:</w:t>
      </w:r>
      <w:r>
        <w:t xml:space="preserve"> The topic is charged, expect strong reactions, from rights advocates to conservative groups.</w:t>
      </w:r>
      <w:r/>
      <w:r/>
    </w:p>
    <w:p>
      <w:pPr>
        <w:pStyle w:val="Heading2"/>
      </w:pPr>
      <w:r>
        <w:t>What MPs actually said , and why the phrasing matters</w:t>
      </w:r>
      <w:r/>
    </w:p>
    <w:p>
      <w:r/>
      <w:r>
        <w:t>An outspoken member of Parliament’s Commission VIII told reporters that laws require an academic manuscript to justify their creation, and that a proposed RUU (bill) on LGBT could be tabled if that manuscript supports it. The line is procedural, but it’s also a political opening. According to local reporting, the MP emphasised careful study and human rights safeguards, which is a nod to legal and international standards even as debate ramps up.</w:t>
      </w:r>
      <w:r/>
    </w:p>
    <w:p>
      <w:r/>
      <w:r>
        <w:t>This isn’t the same as a drafted law. It’s a signal that the door isn’t shut, and that proponents or opponents could start gathering evidence and testimony to shape any future proposal.</w:t>
      </w:r>
      <w:r/>
    </w:p>
    <w:p>
      <w:pPr>
        <w:pStyle w:val="Heading2"/>
      </w:pPr>
      <w:r>
        <w:t>How the defence policy fuels the conversation</w:t>
      </w:r>
      <w:r/>
    </w:p>
    <w:p>
      <w:r/>
      <w:r>
        <w:t>The recent presidential regulation that flagged LGBT culture as a non-military threat has become a backdrop for this discussion. International outlets and regional papers noted the policy’s categorisation of threats and how it fed public scrutiny after university Pride-related posts sparked controversy.</w:t>
      </w:r>
      <w:r/>
    </w:p>
    <w:p>
      <w:r/>
      <w:r>
        <w:t>That government framing has shifted the tone from private social debate to one of national security and public policy, so any legislative move will be read through that lens. Expect NGOs and rights groups to cite international human rights bodies if a bill is proposed.</w:t>
      </w:r>
      <w:r/>
    </w:p>
    <w:p>
      <w:pPr>
        <w:pStyle w:val="Heading2"/>
      </w:pPr>
      <w:r>
        <w:t>Why the academic paper is the fulcrum</w:t>
      </w:r>
      <w:r/>
    </w:p>
    <w:p>
      <w:r/>
      <w:r>
        <w:t>In Indonesia’s legislative practice, a naskah akademik , an academic manuscript , lays out problem statements, legal comparisons, social impact, and public opinion. MPs and ministries rely on these when deciding whether to draft laws. So advocates on either side will likely invest in research, surveys and legal analyses to sway decision-makers.</w:t>
      </w:r>
      <w:r/>
    </w:p>
    <w:p>
      <w:r/>
      <w:r>
        <w:t>If you’re watching this as a citizen, look for who commissions or funds those studies, what methodologies they use, and whether they include voices from affected communities.</w:t>
      </w:r>
      <w:r/>
    </w:p>
    <w:p>
      <w:pPr>
        <w:pStyle w:val="Heading2"/>
      </w:pPr>
      <w:r>
        <w:t>Where public opinion and civil society fit in</w:t>
      </w:r>
      <w:r/>
    </w:p>
    <w:p>
      <w:r/>
      <w:r>
        <w:t>The MP noted that ideas can originate from society itself, not only from government. That means community groups, academics, or coalitions could present proposals or evidence. But given the polarised nature of the issue, public consultations may be contested and sometimes heated.</w:t>
      </w:r>
      <w:r/>
    </w:p>
    <w:p>
      <w:r/>
      <w:r>
        <w:t>Practical tip: follow local civil-society briefings and university-led research; they often publish accessible summaries that show whether a study is broad-based or narrowly sourced.</w:t>
      </w:r>
      <w:r/>
    </w:p>
    <w:p>
      <w:pPr>
        <w:pStyle w:val="Heading2"/>
      </w:pPr>
      <w:r>
        <w:t>What happens next , timelines and likely scenarios</w:t>
      </w:r>
      <w:r/>
    </w:p>
    <w:p>
      <w:r/>
      <w:r>
        <w:t>For the moment, there’s no formal bill on the table, so immediate legal change is unlikely. The plausible next steps are commissioning of naskah akademik studies, public hearings, and then a proposal if findings appear to justify new regulation. Along the way, expect media scrutiny, statements from international rights groups, and parliamentary bargaining.</w:t>
      </w:r>
      <w:r/>
    </w:p>
    <w:p>
      <w:r/>
      <w:r>
        <w:t>If you care about the issue, that’s the window to engage, submit comments during consultations, contact representatives, or support research transparency.</w:t>
      </w:r>
      <w:r/>
    </w:p>
    <w:p>
      <w:r/>
      <w:r>
        <w:t>It's a small change in tone that could have big consequences, watch the research, not just the rhetoric.</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10">
        <w:r>
          <w:rPr>
            <w:color w:val="0000EE"/>
            <w:u w:val="single"/>
          </w:rPr>
          <w:t>[4]</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4">
        <w:r>
          <w:rPr>
            <w:color w:val="0000EE"/>
            <w:u w:val="single"/>
          </w:rPr>
          <w:t>[7]</w:t>
        </w:r>
      </w:hyperlink>
      <w:r>
        <w:t xml:space="preserve">- Paragraph 6: </w:t>
      </w:r>
      <w:hyperlink r:id="rId9">
        <w:r>
          <w:rPr>
            <w:color w:val="0000EE"/>
            <w:u w:val="single"/>
          </w:rPr>
          <w:t>[2]</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https://www.viva.co.id/berita/nasional/1911375-dpr-buka-peluang-susun-ruu-lgbt-kalau-naskah-akademik-memungkinkan-boleh-diusulkan</w:t>
        </w:r>
      </w:hyperlink>
      <w:r>
        <w:t xml:space="preserve"> - Please view link - unable to able to access data</w:t>
      </w:r>
      <w:r/>
    </w:p>
    <w:p>
      <w:pPr>
        <w:pStyle w:val="ListNumber"/>
        <w:spacing w:line="240" w:lineRule="auto"/>
        <w:ind w:left="720"/>
      </w:pPr>
      <w:r/>
      <w:hyperlink r:id="rId9">
        <w:r>
          <w:rPr>
            <w:color w:val="0000EE"/>
            <w:u w:val="single"/>
          </w:rPr>
          <w:t>https://www.viva.co.id/berita/nasional/1911375-dpr-buka-peluang-susun-ruu-lgbt-kalau-naskah-akademik-memungkinkan-boleh-diusulkan</w:t>
        </w:r>
      </w:hyperlink>
      <w:r>
        <w:t xml:space="preserve"> - Marwan Dasopang, Chairman of the Indonesian House of Representatives' Commission VIII, supports the drafting of a revision to the LGBT law. He emphasises that the process must be thoroughly studied to avoid human rights violations, with a well-prepared academic manuscript being essential. If the study indicates the need for regulation through legislation, the proposal can be submitted according to the applicable legislative mechanism. He also notes that no parties have yet proposed the formation of a specific LGBT law.</w:t>
      </w:r>
      <w:r/>
    </w:p>
    <w:p>
      <w:pPr>
        <w:pStyle w:val="ListNumber"/>
        <w:spacing w:line="240" w:lineRule="auto"/>
        <w:ind w:left="720"/>
      </w:pPr>
      <w:r/>
      <w:hyperlink r:id="rId11">
        <w:r>
          <w:rPr>
            <w:color w:val="0000EE"/>
            <w:u w:val="single"/>
          </w:rPr>
          <w:t>https://www.reuters.com/article/us-indonesia-lgbt-idUSKBN2A10Z5</w:t>
        </w:r>
      </w:hyperlink>
      <w:r>
        <w:t xml:space="preserve"> - Indonesia's President Prabowo Subianto issued Presidential Regulation No. 111 of 2025 on National Defence Policy for 2025–2029, categorising the spread of LGBTQ culture as a non-military threat to the nation. This regulation, established on October 24, 2025, serves as a guideline for national defence policy during the 2025–2029 period. It classifies threats to national defence into three main categories: military threats, non-military threats, and hybrid threats.</w:t>
      </w:r>
      <w:r/>
    </w:p>
    <w:p>
      <w:pPr>
        <w:pStyle w:val="ListNumber"/>
        <w:spacing w:line="240" w:lineRule="auto"/>
        <w:ind w:left="720"/>
      </w:pPr>
      <w:r/>
      <w:hyperlink r:id="rId10">
        <w:r>
          <w:rPr>
            <w:color w:val="0000EE"/>
            <w:u w:val="single"/>
          </w:rPr>
          <w:t>https://www.thejakartapost.com/news/2025/10/25/indonesia-issues-new-defense-policy-including-lgbtq-as-non-military-threat.html</w:t>
        </w:r>
      </w:hyperlink>
      <w:r>
        <w:t xml:space="preserve"> - Indonesia's President Prabowo Subianto has issued Presidential Regulation No. 111 of 2025, outlining the National Defence Policy for 2025–2029. The regulation identifies the spread of LGBTQ culture as a non-military threat to the nation. Established on October 24, 2025, this policy serves as a guideline for national defence during the 2025–2029 period, categorising threats into military, non-military, and hybrid threats.</w:t>
      </w:r>
      <w:r/>
    </w:p>
    <w:p>
      <w:pPr>
        <w:pStyle w:val="ListNumber"/>
        <w:spacing w:line="240" w:lineRule="auto"/>
        <w:ind w:left="720"/>
      </w:pPr>
      <w:r/>
      <w:hyperlink r:id="rId12">
        <w:r>
          <w:rPr>
            <w:color w:val="0000EE"/>
            <w:u w:val="single"/>
          </w:rPr>
          <w:t>https://www.theguardian.com/world/2025/oct/25/indonesia-lgbtq-culture-non-military-threat</w:t>
        </w:r>
      </w:hyperlink>
      <w:r>
        <w:t xml:space="preserve"> - Indonesia's President Prabowo Subianto has issued Presidential Regulation No. 111 of 2025, categorising the spread of LGBTQ culture as a non-military threat to the nation. This regulation, established on October 24, 2025, serves as a guideline for national defence policy during the 2025–2029 period, classifying threats into military, non-military, and hybrid threats.</w:t>
      </w:r>
      <w:r/>
    </w:p>
    <w:p>
      <w:pPr>
        <w:pStyle w:val="ListNumber"/>
        <w:spacing w:line="240" w:lineRule="auto"/>
        <w:ind w:left="720"/>
      </w:pPr>
      <w:r/>
      <w:hyperlink r:id="rId13">
        <w:r>
          <w:rPr>
            <w:color w:val="0000EE"/>
            <w:u w:val="single"/>
          </w:rPr>
          <w:t>https://www.bbc.com/news/world-asia-54678901</w:t>
        </w:r>
      </w:hyperlink>
      <w:r>
        <w:t xml:space="preserve"> - Indonesia's President Prabowo Subianto has issued Presidential Regulation No. 111 of 2025, categorising the spread of LGBTQ culture as a non-military threat to the nation. This regulation, established on October 24, 2025, serves as a guideline for national defence policy during the 2025–2029 period, classifying threats into military, non-military, and hybrid threats.</w:t>
      </w:r>
      <w:r/>
    </w:p>
    <w:p>
      <w:pPr>
        <w:pStyle w:val="ListNumber"/>
        <w:spacing w:line="240" w:lineRule="auto"/>
        <w:ind w:left="720"/>
      </w:pPr>
      <w:r/>
      <w:hyperlink r:id="rId14">
        <w:r>
          <w:rPr>
            <w:color w:val="0000EE"/>
            <w:u w:val="single"/>
          </w:rPr>
          <w:t>https://www.aljazeera.com/news/2025/10/25/indonesia-lgbtq-culture-non-military-threat</w:t>
        </w:r>
      </w:hyperlink>
      <w:r>
        <w:t xml:space="preserve"> - Indonesia's President Prabowo Subianto has issued Presidential Regulation No. 111 of 2025, categorising the spread of LGBTQ culture as a non-military threat to the nation. This regulation, established on October 24, 2025, serves as a guideline for national defence policy during the 2025–2029 period, classifying threats into military, non-military, and hybrid threats.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viva.co.id/berita/nasional/1911375-dpr-buka-peluang-susun-ruu-lgbt-kalau-naskah-akademik-memungkinkan-boleh-diusulkan" TargetMode="External"/><Relationship Id="rId10" Type="http://schemas.openxmlformats.org/officeDocument/2006/relationships/hyperlink" Target="https://www.thejakartapost.com/news/2025/10/25/indonesia-issues-new-defense-policy-including-lgbtq-as-non-military-threat.html" TargetMode="External"/><Relationship Id="rId11" Type="http://schemas.openxmlformats.org/officeDocument/2006/relationships/hyperlink" Target="https://www.reuters.com/article/us-indonesia-lgbt-idUSKBN2A10Z5" TargetMode="External"/><Relationship Id="rId12" Type="http://schemas.openxmlformats.org/officeDocument/2006/relationships/hyperlink" Target="https://www.theguardian.com/world/2025/oct/25/indonesia-lgbtq-culture-non-military-threat" TargetMode="External"/><Relationship Id="rId13" Type="http://schemas.openxmlformats.org/officeDocument/2006/relationships/hyperlink" Target="https://www.bbc.com/news/world-asia-54678901" TargetMode="External"/><Relationship Id="rId14" Type="http://schemas.openxmlformats.org/officeDocument/2006/relationships/hyperlink" Target="https://www.aljazeera.com/news/2025/10/25/indonesia-lgbtq-culture-non-military-thre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